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E4D8" w14:textId="77777777" w:rsidR="00A51D04" w:rsidRPr="00657C3E" w:rsidRDefault="00A51D04" w:rsidP="00A51D04">
      <w:pPr>
        <w:spacing w:line="256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XI. SZ. MELLÉKLET</w:t>
      </w:r>
    </w:p>
    <w:p w14:paraId="6C0815F5" w14:textId="77777777" w:rsidR="00A51D04" w:rsidRPr="00657C3E" w:rsidRDefault="00A51D04" w:rsidP="00A51D04">
      <w:pPr>
        <w:spacing w:line="256" w:lineRule="auto"/>
        <w:jc w:val="center"/>
        <w:rPr>
          <w:rFonts w:ascii="Arial" w:eastAsia="Times New Roman" w:hAnsi="Arial" w:cs="Arial"/>
          <w:b/>
          <w:sz w:val="18"/>
          <w:szCs w:val="18"/>
          <w:lang w:val="hu-HU"/>
        </w:rPr>
      </w:pPr>
      <w:bookmarkStart w:id="0" w:name="_Hlk153205714"/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FX PRÉMIUM MEGTAKARÍTÁSOK ESETÉBEN ALKALMAZANDÓ KIEGÉSZÍTŐ RENDELKEZÉSEK</w:t>
      </w:r>
      <w:bookmarkEnd w:id="0"/>
    </w:p>
    <w:p w14:paraId="0D3F48ED" w14:textId="4981B675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104180DF" w14:textId="77777777" w:rsidR="001727DD" w:rsidRPr="00657C3E" w:rsidRDefault="001727DD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2D4DFDC9" w14:textId="77777777" w:rsidR="001727DD" w:rsidRPr="00657C3E" w:rsidRDefault="001727DD" w:rsidP="001727DD">
      <w:pPr>
        <w:keepNext/>
        <w:numPr>
          <w:ilvl w:val="0"/>
          <w:numId w:val="2"/>
        </w:numPr>
        <w:outlineLvl w:val="0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BEVEZETŐ RENDELKEZÉSEK</w:t>
      </w:r>
    </w:p>
    <w:p w14:paraId="240DCAB5" w14:textId="77777777" w:rsidR="001727DD" w:rsidRPr="00657C3E" w:rsidRDefault="001727DD" w:rsidP="001727DD">
      <w:pPr>
        <w:pStyle w:val="ListParagraph"/>
        <w:spacing w:after="160" w:line="256" w:lineRule="auto"/>
        <w:ind w:left="405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40264E8E" w14:textId="77777777" w:rsidR="001727DD" w:rsidRPr="00657C3E" w:rsidRDefault="001727DD" w:rsidP="001727DD">
      <w:pPr>
        <w:pStyle w:val="ListParagraph"/>
        <w:numPr>
          <w:ilvl w:val="1"/>
          <w:numId w:val="2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Felek a Keretszerződés alapján egyedi „FX PRÉMIUM MEGTAKARÍTÁS” ügyleteket (a továbbiakban: "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FXPM Ügylet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") is kötni kívánnak. Az FXPM Ügylet egy olyan összetett pénzügyi eszköz, amely esetében az Ügyfél (mint az opció eladója) egy betétlekötéssel (a továbbiakban: „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Betét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”) egyidőben devizaváltásra vonatkozó opciót is vállal, amely opciónak a Bank (mint az opció vásárlója) a jogosultja (a továbbiakban: „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Opció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”). A Bank az Opcióban meghatározott jogát egy előre rögzített árfolyamon gyakorolhatja, és ebben az esetben a Betét lejáratakor az elhelyezett tőkeösszeg nem a Betét eredeti devizanemében, hanem a referencia devizapár másik devizájában kerül jóváírásra. </w:t>
      </w:r>
    </w:p>
    <w:p w14:paraId="18A07E65" w14:textId="77777777" w:rsidR="001727DD" w:rsidRPr="00657C3E" w:rsidRDefault="001727DD" w:rsidP="001727DD">
      <w:pPr>
        <w:pStyle w:val="ListParagraph"/>
        <w:rPr>
          <w:rFonts w:ascii="Arial" w:eastAsia="Times New Roman" w:hAnsi="Arial" w:cs="Arial"/>
          <w:sz w:val="18"/>
          <w:szCs w:val="18"/>
          <w:lang w:val="hu-HU"/>
        </w:rPr>
      </w:pPr>
    </w:p>
    <w:p w14:paraId="601DB63E" w14:textId="77777777" w:rsidR="001727DD" w:rsidRPr="00657C3E" w:rsidRDefault="001727DD" w:rsidP="001727DD">
      <w:pPr>
        <w:pStyle w:val="ListParagraph"/>
        <w:numPr>
          <w:ilvl w:val="1"/>
          <w:numId w:val="2"/>
        </w:numPr>
        <w:spacing w:after="160" w:line="256" w:lineRule="auto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FXPM Ügyletek szabályozása érdekében a Felek a jelen kiegészítésben (a továbbiakban: „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Kiegészítés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”) az alábbiak szerint állapodnak meg. </w:t>
      </w:r>
    </w:p>
    <w:p w14:paraId="79216DA9" w14:textId="77777777" w:rsidR="00A51D04" w:rsidRPr="00657C3E" w:rsidRDefault="00A51D04" w:rsidP="00A51D04">
      <w:pPr>
        <w:keepNext/>
        <w:numPr>
          <w:ilvl w:val="0"/>
          <w:numId w:val="2"/>
        </w:numPr>
        <w:outlineLvl w:val="0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A KIEGÉSZÍTÉS HATÁLYA, FELÉPÍTÉSE </w:t>
      </w:r>
    </w:p>
    <w:p w14:paraId="1278DD2A" w14:textId="77777777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41C955F8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Felek a Kiegészítés alapján a Keretszerződés keretein belül FXPM Ügyleteket is jogosultak kötni.</w:t>
      </w:r>
    </w:p>
    <w:p w14:paraId="63F3F065" w14:textId="77777777" w:rsidR="00A51D04" w:rsidRPr="00657C3E" w:rsidRDefault="00A51D04" w:rsidP="00A51D04">
      <w:pPr>
        <w:ind w:left="405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205A42B6" w14:textId="426073DA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 Keretszerződés magában foglalja a Kiegészítés alapján a Felek között az FXPM Ügyletek írásbeli megerősítése céljából </w:t>
      </w:r>
      <w:r w:rsidR="00F10C99" w:rsidRPr="00657C3E">
        <w:rPr>
          <w:rFonts w:ascii="Arial" w:hAnsi="Arial" w:cs="Arial"/>
          <w:sz w:val="18"/>
          <w:szCs w:val="18"/>
          <w:lang w:val="hu-HU"/>
        </w:rPr>
        <w:t xml:space="preserve">váltott visszaigazolásokat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(a továbbiakban: "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FXPM</w:t>
      </w:r>
      <w:r w:rsidR="000710C3"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 Ügylet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 Visszaigazolás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") is, amely mintája jelen Kiegészítés függelékét képezi.  Az FXPM Ügyletek a Keretszerződésben meghatározott Ügyleteknek, az FXPM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Ügylet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Visszaigazolások pedig a Keretszerződésben meghatározott Visszaigazolásnak minősülnek.  </w:t>
      </w:r>
    </w:p>
    <w:p w14:paraId="41BE08CC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32645B4B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FXPM Ügyletekre a jelen Kiegészítésben nem szabályozott kérdésekben az alábbi kivételekkel a Keretszerződés rendelkezései az irányadók:</w:t>
      </w:r>
    </w:p>
    <w:p w14:paraId="4F0F1646" w14:textId="77777777" w:rsidR="00A51D04" w:rsidRPr="00657C3E" w:rsidRDefault="00A51D04" w:rsidP="001727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Keretszerződés 2.3. (Fedezet), 2.5. (Megengedett Ügyletek köre) rendelkezései, valamint a IV/A és IV/B sz. melléklete nem alkalmazandó az FXPM Ügyletek esetében; és</w:t>
      </w:r>
    </w:p>
    <w:p w14:paraId="10D666F4" w14:textId="77777777" w:rsidR="00A51D04" w:rsidRPr="00657C3E" w:rsidRDefault="00A51D04" w:rsidP="001727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FXPM Ügyletet a jelen Kiegészítés aláírásának napjától köthet az Ügyfél.</w:t>
      </w:r>
    </w:p>
    <w:p w14:paraId="0C386B39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6B760F3E" w14:textId="54B1D5EA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Kiegészítés és a Keretszerződés eltérő rendelkezései esetén a Kiegészítésben foglaltak, míg az FXPM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Ügylet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Visszaigazolás és a Kiegészítés eltérő rendelkezései esetén az FXPM 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Ügylet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Visszaigazolásban foglaltak az irányadók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az FXPM Ügyletre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.</w:t>
      </w:r>
    </w:p>
    <w:p w14:paraId="2B33BDCD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7B053A1C" w14:textId="7C839AE3" w:rsidR="00A51D04" w:rsidRPr="00657C3E" w:rsidRDefault="00E222AD" w:rsidP="00A51D04">
      <w:pPr>
        <w:keepNext/>
        <w:numPr>
          <w:ilvl w:val="0"/>
          <w:numId w:val="2"/>
        </w:numPr>
        <w:outlineLvl w:val="0"/>
        <w:rPr>
          <w:rFonts w:ascii="Arial" w:eastAsia="Times New Roman" w:hAnsi="Arial" w:cs="Arial"/>
          <w:b/>
          <w:sz w:val="18"/>
          <w:szCs w:val="18"/>
          <w:lang w:val="hu-HU"/>
        </w:rPr>
      </w:pPr>
      <w:r>
        <w:rPr>
          <w:rFonts w:ascii="Arial" w:eastAsia="Times New Roman" w:hAnsi="Arial" w:cs="Arial"/>
          <w:b/>
          <w:sz w:val="18"/>
          <w:szCs w:val="18"/>
          <w:lang w:val="hu-HU"/>
        </w:rPr>
        <w:t xml:space="preserve">AZ </w:t>
      </w:r>
      <w:r w:rsidR="00A51D04" w:rsidRPr="00657C3E">
        <w:rPr>
          <w:rFonts w:ascii="Arial" w:eastAsia="Times New Roman" w:hAnsi="Arial" w:cs="Arial"/>
          <w:b/>
          <w:sz w:val="18"/>
          <w:szCs w:val="18"/>
          <w:lang w:val="hu-HU"/>
        </w:rPr>
        <w:t>ÜGYLETKÖTÉS FELTÉTELEI</w:t>
      </w:r>
    </w:p>
    <w:p w14:paraId="12933FCF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36039096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Köthető Ügyletek köre</w:t>
      </w:r>
    </w:p>
    <w:p w14:paraId="41CEA0A9" w14:textId="77777777" w:rsidR="00A51D04" w:rsidRPr="00657C3E" w:rsidRDefault="00A51D04" w:rsidP="00A51D04">
      <w:pPr>
        <w:ind w:left="405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</w:p>
    <w:p w14:paraId="2EF648E4" w14:textId="77777777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Üzleti szempontok alapján és – amennyiben az Ügyfél nem „MiFID Elfogadható partner” besorolással rendelkezik – az Ügyfél által a Befektetési Adatlapon ismertként megjelölt ügylettípusok vonatkozásában a Bank az alábbi feltételek szerint fogad el megbízásokat az FXPM Ügyletekre vonatkozóan. </w:t>
      </w:r>
    </w:p>
    <w:p w14:paraId="39570FF8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5C0C7F53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Megbízás</w:t>
      </w:r>
    </w:p>
    <w:p w14:paraId="667D7202" w14:textId="77777777" w:rsidR="00A51D04" w:rsidRPr="00657C3E" w:rsidRDefault="00A51D04" w:rsidP="00A51D04">
      <w:pPr>
        <w:ind w:left="405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</w:p>
    <w:p w14:paraId="758BB547" w14:textId="172160CB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Felek kifejezetten megállapodnak abban, hogy az Ügyfél a megbízásait telefonon adhatja meg a Keretszerződés rendelkezései szerint. A megbízásnak az adott FXPM Ügylet valamennyi lényeges feltételét - így különösen az alábbiakat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 xml:space="preserve">-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tartalmaznia kell: </w:t>
      </w:r>
    </w:p>
    <w:p w14:paraId="0BB65CFB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6E19CA25" w14:textId="77777777" w:rsidR="00A51D04" w:rsidRPr="00657C3E" w:rsidRDefault="00A51D04" w:rsidP="001727DD">
      <w:pPr>
        <w:numPr>
          <w:ilvl w:val="3"/>
          <w:numId w:val="2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Betét feltételei:</w:t>
      </w:r>
    </w:p>
    <w:p w14:paraId="6E6CD9C9" w14:textId="66508349" w:rsidR="00A51D04" w:rsidRPr="00657C3E" w:rsidRDefault="009D508A" w:rsidP="001727DD">
      <w:pPr>
        <w:numPr>
          <w:ilvl w:val="0"/>
          <w:numId w:val="3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>
        <w:rPr>
          <w:rFonts w:ascii="Arial" w:eastAsia="Times New Roman" w:hAnsi="Arial" w:cs="Arial"/>
          <w:sz w:val="18"/>
          <w:szCs w:val="18"/>
          <w:lang w:val="hu-HU"/>
        </w:rPr>
        <w:t>a lekötött összeg</w:t>
      </w:r>
      <w:r w:rsidR="00A51D04" w:rsidRPr="00657C3E">
        <w:rPr>
          <w:rFonts w:ascii="Arial" w:eastAsia="Times New Roman" w:hAnsi="Arial" w:cs="Arial"/>
          <w:sz w:val="18"/>
          <w:szCs w:val="18"/>
          <w:lang w:val="hu-HU"/>
        </w:rPr>
        <w:t>;</w:t>
      </w:r>
    </w:p>
    <w:p w14:paraId="60EBE708" w14:textId="24090F9F" w:rsidR="00A51D04" w:rsidRPr="00657C3E" w:rsidRDefault="009D508A" w:rsidP="001727DD">
      <w:pPr>
        <w:numPr>
          <w:ilvl w:val="0"/>
          <w:numId w:val="3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>
        <w:rPr>
          <w:rFonts w:ascii="Arial" w:eastAsia="Times New Roman" w:hAnsi="Arial" w:cs="Arial"/>
          <w:sz w:val="18"/>
          <w:szCs w:val="18"/>
          <w:lang w:val="hu-HU"/>
        </w:rPr>
        <w:t xml:space="preserve">a lekötött összeg </w:t>
      </w:r>
      <w:r w:rsidR="00A51D04" w:rsidRPr="00657C3E">
        <w:rPr>
          <w:rFonts w:ascii="Arial" w:eastAsia="Times New Roman" w:hAnsi="Arial" w:cs="Arial"/>
          <w:sz w:val="18"/>
          <w:szCs w:val="18"/>
          <w:lang w:val="hu-HU"/>
        </w:rPr>
        <w:t>devizaneme;</w:t>
      </w:r>
    </w:p>
    <w:p w14:paraId="550B1737" w14:textId="712EFCBF" w:rsidR="00A51D04" w:rsidRPr="00657C3E" w:rsidRDefault="00A51D04" w:rsidP="001727DD">
      <w:pPr>
        <w:numPr>
          <w:ilvl w:val="0"/>
          <w:numId w:val="3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ekötés napja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,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a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ejárat napja, a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ekötés időtartama;</w:t>
      </w:r>
    </w:p>
    <w:p w14:paraId="258675BE" w14:textId="0ECE87AC" w:rsidR="00A51D04" w:rsidRPr="00657C3E" w:rsidRDefault="00A51D04" w:rsidP="001727DD">
      <w:pPr>
        <w:numPr>
          <w:ilvl w:val="0"/>
          <w:numId w:val="3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 lekötött összegre fizetett kamat mértéke (a „Kamat”). </w:t>
      </w:r>
    </w:p>
    <w:p w14:paraId="325FCEEB" w14:textId="77777777" w:rsidR="00A51D04" w:rsidRPr="00657C3E" w:rsidRDefault="00A51D04" w:rsidP="001727DD">
      <w:pPr>
        <w:ind w:left="360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2091DF7F" w14:textId="77777777" w:rsidR="00A51D04" w:rsidRPr="00657C3E" w:rsidRDefault="00A51D04" w:rsidP="001727DD">
      <w:pPr>
        <w:numPr>
          <w:ilvl w:val="3"/>
          <w:numId w:val="2"/>
        </w:numPr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Opció feltételei:</w:t>
      </w:r>
    </w:p>
    <w:p w14:paraId="1737C19D" w14:textId="360051E1" w:rsidR="00A51D04" w:rsidRPr="00657C3E" w:rsidRDefault="00A51D04" w:rsidP="001727DD">
      <w:pPr>
        <w:numPr>
          <w:ilvl w:val="0"/>
          <w:numId w:val="4"/>
        </w:numPr>
        <w:tabs>
          <w:tab w:val="left" w:pos="2410"/>
        </w:tabs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opció lehetséges lehívásának napja (a „Lehívás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apja”);</w:t>
      </w:r>
    </w:p>
    <w:p w14:paraId="510B5989" w14:textId="7632DED7" w:rsidR="00A51D04" w:rsidRPr="00657C3E" w:rsidRDefault="00A51D04" w:rsidP="001727DD">
      <w:pPr>
        <w:numPr>
          <w:ilvl w:val="0"/>
          <w:numId w:val="4"/>
        </w:numPr>
        <w:tabs>
          <w:tab w:val="left" w:pos="2410"/>
        </w:tabs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az azonnali árfolyam, amelyen a Bank jogosult az opciós jogát gyakorolni (az „Opciós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ötésár”);</w:t>
      </w:r>
    </w:p>
    <w:p w14:paraId="3B76AAC5" w14:textId="49592EA0" w:rsidR="00A51D04" w:rsidRPr="00657C3E" w:rsidRDefault="00A51D04" w:rsidP="001727DD">
      <w:pPr>
        <w:numPr>
          <w:ilvl w:val="0"/>
          <w:numId w:val="4"/>
        </w:numPr>
        <w:tabs>
          <w:tab w:val="left" w:pos="2410"/>
        </w:tabs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lehívási feltétel meghatározása, azaz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>, hogy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(i) 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azonnali árfolyam az Opciós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K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ötésár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alatt van vagy eléri 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>azt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>, vagy (ii)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azonnali árfolyam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eléri vagy meghaladja az Opciós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ötésárat (a „Lehívási </w:t>
      </w:r>
      <w:r w:rsidR="00844D7A">
        <w:rPr>
          <w:rFonts w:ascii="Arial" w:eastAsia="Times New Roman" w:hAnsi="Arial" w:cs="Arial"/>
          <w:sz w:val="18"/>
          <w:szCs w:val="18"/>
          <w:lang w:val="hu-HU"/>
        </w:rPr>
        <w:t>F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eltétel”).</w:t>
      </w:r>
    </w:p>
    <w:p w14:paraId="65C9BEA2" w14:textId="6C2662E7" w:rsidR="00A51D04" w:rsidRPr="00657C3E" w:rsidRDefault="00A51D04" w:rsidP="00A51D04">
      <w:pPr>
        <w:tabs>
          <w:tab w:val="left" w:pos="2410"/>
        </w:tabs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07A32C9D" w14:textId="5C1AC3D4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A Betét </w:t>
      </w:r>
      <w:r w:rsidR="00E222AD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további 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feltételei</w:t>
      </w:r>
    </w:p>
    <w:p w14:paraId="19F33BC2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23484836" w14:textId="0D31549D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 Bank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a lekötött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összeg után a </w:t>
      </w:r>
      <w:r w:rsidR="00865D8E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ekötés időtartamára fizet </w:t>
      </w:r>
      <w:r w:rsidR="00865D8E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amatot, és azt a </w:t>
      </w:r>
      <w:r w:rsidR="00865D8E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ejárat napján írja jóvá az Ügyfél folyószámláján.</w:t>
      </w:r>
    </w:p>
    <w:p w14:paraId="27070514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535A925A" w14:textId="31CC8333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Ügyfél tudomásul veszi, hogy a lekötés felbontása (feltörés), illetve a lekötés meghosszabbítása nem lehetséges.</w:t>
      </w:r>
    </w:p>
    <w:p w14:paraId="4C5A2D8C" w14:textId="77777777" w:rsidR="006D6BD7" w:rsidRPr="00657C3E" w:rsidRDefault="006D6BD7" w:rsidP="000710C3">
      <w:pPr>
        <w:pStyle w:val="ListParagraph"/>
        <w:rPr>
          <w:rFonts w:ascii="Arial" w:eastAsia="Times New Roman" w:hAnsi="Arial" w:cs="Arial"/>
          <w:sz w:val="18"/>
          <w:szCs w:val="18"/>
          <w:lang w:val="hu-HU"/>
        </w:rPr>
      </w:pPr>
    </w:p>
    <w:p w14:paraId="49A694BB" w14:textId="5AD93391" w:rsidR="006D6BD7" w:rsidRPr="00657C3E" w:rsidRDefault="006D6BD7" w:rsidP="006D6BD7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Felek rögzítik, hogy a kamatösszeg kifizetése mindig a lekötött összeg devizanemében történik. </w:t>
      </w:r>
    </w:p>
    <w:p w14:paraId="16A4B1A3" w14:textId="77777777" w:rsidR="006D6BD7" w:rsidRPr="00657C3E" w:rsidRDefault="006D6BD7" w:rsidP="006D6BD7">
      <w:pPr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0DD20017" w14:textId="77777777" w:rsidR="006D6BD7" w:rsidRPr="00657C3E" w:rsidRDefault="006D6BD7" w:rsidP="000710C3">
      <w:pPr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54AD687A" w14:textId="3C8FA388" w:rsidR="00A51D04" w:rsidRPr="00657C3E" w:rsidRDefault="00A51D04" w:rsidP="00A51D04">
      <w:pPr>
        <w:jc w:val="both"/>
        <w:rPr>
          <w:rFonts w:ascii="Arial" w:eastAsia="Times New Roman" w:hAnsi="Arial" w:cs="Arial"/>
          <w:iCs/>
          <w:sz w:val="18"/>
          <w:szCs w:val="18"/>
          <w:lang w:val="hu-HU"/>
        </w:rPr>
      </w:pPr>
    </w:p>
    <w:p w14:paraId="1B8DEBBC" w14:textId="5C3BF33A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lastRenderedPageBreak/>
        <w:t>Az Opció</w:t>
      </w:r>
      <w:r w:rsidR="00E222AD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 további</w:t>
      </w: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 xml:space="preserve"> feltételei</w:t>
      </w:r>
    </w:p>
    <w:p w14:paraId="2E9955DA" w14:textId="77777777" w:rsidR="00A51D04" w:rsidRPr="00657C3E" w:rsidRDefault="00A51D04" w:rsidP="00A51D04">
      <w:pPr>
        <w:jc w:val="both"/>
        <w:rPr>
          <w:rFonts w:ascii="Arial" w:eastAsia="Times New Roman" w:hAnsi="Arial" w:cs="Arial"/>
          <w:b/>
          <w:sz w:val="18"/>
          <w:szCs w:val="18"/>
          <w:lang w:val="hu-HU"/>
        </w:rPr>
      </w:pPr>
    </w:p>
    <w:p w14:paraId="4B7F5BC5" w14:textId="30BF9544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 Felek megállapodnak abban, hogy amennyiben a Lehívás </w:t>
      </w:r>
      <w:r w:rsidR="00865D8E">
        <w:rPr>
          <w:rFonts w:ascii="Arial" w:eastAsia="Times New Roman" w:hAnsi="Arial" w:cs="Arial"/>
          <w:sz w:val="18"/>
          <w:szCs w:val="18"/>
          <w:lang w:val="hu-HU"/>
        </w:rPr>
        <w:t>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apján az </w:t>
      </w:r>
      <w:r w:rsidR="009F2490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Opciós </w:t>
      </w:r>
      <w:r w:rsidR="00865D8E">
        <w:rPr>
          <w:rFonts w:ascii="Arial" w:eastAsia="Times New Roman" w:hAnsi="Arial" w:cs="Arial"/>
          <w:sz w:val="18"/>
          <w:szCs w:val="18"/>
          <w:lang w:val="hu-HU"/>
        </w:rPr>
        <w:t>K</w:t>
      </w:r>
      <w:r w:rsidR="009F2490" w:rsidRPr="00657C3E">
        <w:rPr>
          <w:rFonts w:ascii="Arial" w:eastAsia="Times New Roman" w:hAnsi="Arial" w:cs="Arial"/>
          <w:sz w:val="18"/>
          <w:szCs w:val="18"/>
          <w:lang w:val="hu-HU"/>
        </w:rPr>
        <w:t>ötésár vizsgálatának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időpont</w:t>
      </w:r>
      <w:r w:rsidR="009F2490" w:rsidRPr="00657C3E">
        <w:rPr>
          <w:rFonts w:ascii="Arial" w:eastAsia="Times New Roman" w:hAnsi="Arial" w:cs="Arial"/>
          <w:sz w:val="18"/>
          <w:szCs w:val="18"/>
          <w:lang w:val="hu-HU"/>
        </w:rPr>
        <w:t>já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ban a</w:t>
      </w:r>
      <w:r w:rsidR="002457F8" w:rsidRPr="00657C3E">
        <w:rPr>
          <w:rFonts w:ascii="Arial" w:eastAsia="Times New Roman" w:hAnsi="Arial" w:cs="Arial"/>
          <w:sz w:val="18"/>
          <w:szCs w:val="18"/>
          <w:lang w:val="hu-HU"/>
        </w:rPr>
        <w:t>z FXPM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Ügylet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Visszaigazolásban rögzített 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 tekintetében teljesül a</w:t>
      </w:r>
      <w:r w:rsidR="002457F8" w:rsidRPr="00657C3E">
        <w:rPr>
          <w:rFonts w:ascii="Arial" w:eastAsia="Times New Roman" w:hAnsi="Arial" w:cs="Arial"/>
          <w:sz w:val="18"/>
          <w:szCs w:val="18"/>
          <w:lang w:val="hu-HU"/>
        </w:rPr>
        <w:t>z FXPM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Ügylet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Visszaigazolásban meghatározott Lehívási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F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eltétel, a Bank jogosult az 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ötésáron a megbízás alapján a</w:t>
      </w:r>
      <w:r w:rsidR="002457F8" w:rsidRPr="00657C3E">
        <w:rPr>
          <w:rFonts w:ascii="Arial" w:eastAsia="Times New Roman" w:hAnsi="Arial" w:cs="Arial"/>
          <w:sz w:val="18"/>
          <w:szCs w:val="18"/>
          <w:lang w:val="hu-HU"/>
        </w:rPr>
        <w:t>z FXPM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Ügylet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Visszaigazolásban meghatározott, lekötött összeget saját számlára megvásárolni. </w:t>
      </w:r>
    </w:p>
    <w:p w14:paraId="1CBF7BC5" w14:textId="77777777" w:rsidR="009F2490" w:rsidRPr="00657C3E" w:rsidRDefault="009F2490" w:rsidP="000710C3">
      <w:pPr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082051E3" w14:textId="50C981F9" w:rsidR="009F2490" w:rsidRPr="00657C3E" w:rsidRDefault="009F2490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Ha a Felek az ügyletkötéskor nem állapodnak meg eltérően, akkor az Opciós kötésár vizsgálatának időpontja:</w:t>
      </w:r>
    </w:p>
    <w:p w14:paraId="6FF06AA8" w14:textId="77777777" w:rsidR="00A51D04" w:rsidRPr="00657C3E" w:rsidRDefault="00A51D04" w:rsidP="000710C3">
      <w:pPr>
        <w:numPr>
          <w:ilvl w:val="0"/>
          <w:numId w:val="11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HUF esetében: budapesti idő szerint 12 óra;</w:t>
      </w:r>
    </w:p>
    <w:p w14:paraId="7538A3EB" w14:textId="77777777" w:rsidR="00A51D04" w:rsidRPr="00657C3E" w:rsidRDefault="00A51D04" w:rsidP="000710C3">
      <w:pPr>
        <w:numPr>
          <w:ilvl w:val="0"/>
          <w:numId w:val="11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Valamennyi HUF-tól eltérő devizanem esetében: budapesti idő szerint 16 óra.</w:t>
      </w:r>
    </w:p>
    <w:p w14:paraId="18F55600" w14:textId="77777777" w:rsidR="00A51D04" w:rsidRPr="00657C3E" w:rsidRDefault="00A51D04" w:rsidP="00A51D04">
      <w:pPr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16F0F992" w14:textId="096FBD77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Ha nem teljesül a Lehívási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F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eltétel, akkor az opciós jog érték nélkül megszűnik, és így konverzióra nem kerül sor. Ebben az esetben a Bank a lekötött összeget a Kamattal együtt a Betét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ejáratának napján az Ügyfél folyószámláján jóváírja. </w:t>
      </w:r>
    </w:p>
    <w:p w14:paraId="35A31907" w14:textId="77777777" w:rsidR="00A51D04" w:rsidRPr="00657C3E" w:rsidRDefault="00A51D04" w:rsidP="00A51D04">
      <w:pPr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744C6526" w14:textId="6968AAC4" w:rsidR="00A51D04" w:rsidRPr="00657C3E" w:rsidRDefault="00A51D04" w:rsidP="00A51D04">
      <w:pPr>
        <w:numPr>
          <w:ilvl w:val="2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Amennyiben a Bank él az opciós jogával, úgy a Bank a lekötött összeggel az Ügyfél számláját a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ejárat napja értéknappal megterheli, a lekötött összeg</w:t>
      </w:r>
      <w:r w:rsidR="00263CDD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FXPM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Ügylet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Visszaigazolásban meghatározott devizanemű ellenértékét pedig – ha az FXPM </w:t>
      </w:r>
      <w:r w:rsidR="000710C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Ügylet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Visszaigazolásban nem állapodtak meg másképp – ugyanazon a napon az Ügyfél folyószámláján jóváírja.</w:t>
      </w:r>
    </w:p>
    <w:p w14:paraId="31D154D9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46B0CDFE" w14:textId="033CD0F8" w:rsidR="00A51D04" w:rsidRPr="00657C3E" w:rsidRDefault="00A51D04" w:rsidP="000710C3">
      <w:pPr>
        <w:keepNext/>
        <w:numPr>
          <w:ilvl w:val="0"/>
          <w:numId w:val="2"/>
        </w:numPr>
        <w:outlineLvl w:val="0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A</w:t>
      </w:r>
      <w:r w:rsidR="00404D8C" w:rsidRPr="00657C3E">
        <w:rPr>
          <w:rFonts w:ascii="Arial" w:eastAsia="Times New Roman" w:hAnsi="Arial" w:cs="Arial"/>
          <w:b/>
          <w:sz w:val="18"/>
          <w:szCs w:val="18"/>
          <w:lang w:val="hu-HU"/>
        </w:rPr>
        <w:t>Z</w: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 FXPM </w:t>
      </w:r>
      <w:r w:rsidR="00404D8C" w:rsidRPr="00657C3E">
        <w:rPr>
          <w:rFonts w:ascii="Arial" w:eastAsia="Times New Roman" w:hAnsi="Arial" w:cs="Arial"/>
          <w:b/>
          <w:sz w:val="18"/>
          <w:szCs w:val="18"/>
          <w:lang w:val="hu-HU"/>
        </w:rPr>
        <w:t>ÜGYLET KOCKÁZATA</w: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 </w:t>
      </w:r>
    </w:p>
    <w:p w14:paraId="07DB55DB" w14:textId="77777777" w:rsidR="00A51D04" w:rsidRPr="00657C3E" w:rsidRDefault="00A51D04" w:rsidP="00A51D04">
      <w:pPr>
        <w:ind w:left="705"/>
        <w:contextualSpacing/>
        <w:jc w:val="both"/>
        <w:rPr>
          <w:rFonts w:ascii="Arial" w:eastAsia="Times New Roman" w:hAnsi="Arial" w:cs="Arial"/>
          <w:b/>
          <w:sz w:val="18"/>
          <w:szCs w:val="18"/>
          <w:lang w:val="hu-HU"/>
        </w:rPr>
      </w:pPr>
    </w:p>
    <w:p w14:paraId="0479581A" w14:textId="2CDBE33A" w:rsidR="00A51D04" w:rsidRPr="00657C3E" w:rsidRDefault="00A51D04" w:rsidP="000710C3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FXPM Ügyletnél a konverzióból adódó pénzügyi teljesítés egy előre rögzített árfolyamon (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>on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), a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ekötés napját követő második </w:t>
      </w:r>
      <w:r w:rsidR="00DA35D6">
        <w:rPr>
          <w:rFonts w:ascii="Arial" w:eastAsia="Times New Roman" w:hAnsi="Arial" w:cs="Arial"/>
          <w:sz w:val="18"/>
          <w:szCs w:val="18"/>
          <w:lang w:val="hu-HU"/>
        </w:rPr>
        <w:t>M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unkanapnál későbbi, előre meghatározott lejárati napon történhet meg, amennyiben az opció jogosultja, azaz a Bank élni kíván az opciós jogával. Az opciós ügyletkötéskor rögzített 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 nem egy prognózis a jövőre nézve, és a lejáratkori azonnali piaci árfolyam eltérhet attól. Az opciós ügylet – mint önálló ügylet – teljesítése kötelezettséget jelent az opció eladójára, azaz az Ügyfélre nézve.</w:t>
      </w:r>
    </w:p>
    <w:p w14:paraId="3E3590FF" w14:textId="77777777" w:rsidR="00A51D04" w:rsidRPr="00657C3E" w:rsidRDefault="00A51D04" w:rsidP="000710C3">
      <w:pPr>
        <w:ind w:left="405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28085F47" w14:textId="02F89E78" w:rsidR="00A51D04" w:rsidRPr="00657C3E" w:rsidRDefault="00A51D04" w:rsidP="000710C3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FXPM Ügylet nem fedezeti ügylet. Amennyiben a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ehívás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apján a Bank él opciós jogával, az opció eladója (Ügyfél) köteles teljesíteni a tranzakciót az ügyletkötéskor rögzített feltételekkel, ami akár lényegesen kedvezőtlenebb is lehet az Ügyfél mint az opció eladója számára, mintha a lejárat napján érvényes azonnali piaci árfolyamon értékesítené a lekötött összeget. </w:t>
      </w:r>
    </w:p>
    <w:p w14:paraId="643BFC0F" w14:textId="77777777" w:rsidR="00A51D04" w:rsidRPr="00657C3E" w:rsidRDefault="00A51D04" w:rsidP="000710C3">
      <w:pPr>
        <w:ind w:left="405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6C41C069" w14:textId="5973605B" w:rsidR="00A51D04" w:rsidRPr="00657C3E" w:rsidRDefault="00A51D04" w:rsidP="000710C3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Ügyfelet akkor is érheti veszteség, ha az opció nem kerül lehívásra, de az Ügyfélnek szándékában áll a konverziót végrehajtani: amennyiben a </w:t>
      </w:r>
      <w:r w:rsidR="00221C12">
        <w:rPr>
          <w:rFonts w:ascii="Arial" w:eastAsia="Times New Roman" w:hAnsi="Arial" w:cs="Arial"/>
          <w:sz w:val="18"/>
          <w:szCs w:val="18"/>
          <w:lang w:val="hu-HU"/>
        </w:rPr>
        <w:t>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ejárat napján jegyzett árfolyam kedvezőtlenebb, mint az FXPM Ügylet megkötésekor érvényes piaci árfolyam, akkor az Ügyfél veszteséget szenvedhet el, amelyet az FXPM Ügylet kamata nem feltétlenül kompenzál. </w:t>
      </w:r>
    </w:p>
    <w:p w14:paraId="317F6ABD" w14:textId="77777777" w:rsidR="00A51D04" w:rsidRPr="00657C3E" w:rsidRDefault="00A51D04" w:rsidP="000710C3">
      <w:pPr>
        <w:ind w:left="405"/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002EB266" w14:textId="05CA2FC8" w:rsidR="00A51D04" w:rsidRPr="00657C3E" w:rsidRDefault="00A51D04" w:rsidP="000710C3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Ügyfél tudomásul veszi, hogy a fenti esetekben előforduló veszteség az FXPM Ügylet kockázata, melynek mértéke nincs korlátozva, az a piaci árfolyamok változásától függ, és ezt a kockázatot az opció eladója, azaz az Ügyfél viseli.</w:t>
      </w:r>
    </w:p>
    <w:p w14:paraId="1A7EAF73" w14:textId="77777777" w:rsidR="00A51D04" w:rsidRPr="00657C3E" w:rsidRDefault="00A51D04" w:rsidP="00A51D04">
      <w:pPr>
        <w:ind w:left="720"/>
        <w:contextualSpacing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</w:p>
    <w:p w14:paraId="091D91B2" w14:textId="32C2938C" w:rsidR="00A51D04" w:rsidRPr="00657C3E" w:rsidRDefault="00404D8C" w:rsidP="00A51D0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color w:val="000000"/>
          <w:sz w:val="18"/>
          <w:szCs w:val="18"/>
          <w:lang w:val="hu-HU"/>
        </w:rPr>
        <w:t>EGYÉB RENDELKEZÉSEK</w:t>
      </w:r>
    </w:p>
    <w:p w14:paraId="4E6AFD03" w14:textId="77777777" w:rsidR="00A51D04" w:rsidRPr="00657C3E" w:rsidRDefault="00A51D04" w:rsidP="00A51D04">
      <w:pPr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</w:p>
    <w:p w14:paraId="79793396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Ügyfél jelen melléklet aláírásával igazolja, hogy a folyószámlára vonatkozó számlaszerződése megkötése előtt a Tájékoztató Betéteseknek c. dokumentumot (A hitelintézetekről és a pénzügyi vállalkozásokról szóló 2013. évi CCXXXVII. törvény 6. melléklete) a Banktól megkapta, és az abban foglaltakat tudomásul vette.</w:t>
      </w:r>
    </w:p>
    <w:p w14:paraId="39BCE932" w14:textId="77777777" w:rsidR="00A51D04" w:rsidRPr="00657C3E" w:rsidRDefault="00A51D04" w:rsidP="00A51D04">
      <w:pPr>
        <w:ind w:left="405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</w:p>
    <w:p w14:paraId="1F4AE5A1" w14:textId="77777777" w:rsidR="00A51D04" w:rsidRPr="00657C3E" w:rsidRDefault="00A51D04" w:rsidP="00A51D04">
      <w:pPr>
        <w:numPr>
          <w:ilvl w:val="1"/>
          <w:numId w:val="2"/>
        </w:numPr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Az OBA által biztosított betétek esetében a Bank és az Ügyfél közötti beszámításnak akkor van helye, ha az Ügyfélnek a Bankkal szemben a kártalanítás kezdő időpontját megelőzően lejárt tartozása van.</w:t>
      </w:r>
    </w:p>
    <w:p w14:paraId="17580963" w14:textId="77777777" w:rsidR="00A51D04" w:rsidRPr="00657C3E" w:rsidRDefault="00A51D04" w:rsidP="00A51D04">
      <w:pPr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</w:p>
    <w:p w14:paraId="276CE1C6" w14:textId="77777777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Felek a jelen szerződést elolvasás és értelmezés után mint akaratukkal mindenben megegyezőt jóváhagyólag aláírták.</w:t>
      </w:r>
    </w:p>
    <w:p w14:paraId="171E355C" w14:textId="38F5A998" w:rsidR="00A51D04" w:rsidRPr="00657C3E" w:rsidRDefault="00A51D04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43780229" w14:textId="6DF7C5D8" w:rsidR="00252C8D" w:rsidRPr="00657C3E" w:rsidRDefault="00252C8D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556DDF56" w14:textId="77777777" w:rsidR="00252C8D" w:rsidRPr="00657C3E" w:rsidRDefault="00252C8D" w:rsidP="00A51D04">
      <w:pPr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7CF1C862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UniCredit Bank Hungary Zrt.</w:t>
      </w:r>
    </w:p>
    <w:p w14:paraId="62A1601E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A51D04" w:rsidRPr="00657C3E" w14:paraId="2776E23E" w14:textId="77777777" w:rsidTr="003E5DFE">
        <w:tc>
          <w:tcPr>
            <w:tcW w:w="3320" w:type="dxa"/>
            <w:hideMark/>
          </w:tcPr>
          <w:p w14:paraId="63F15D4D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  <w:tc>
          <w:tcPr>
            <w:tcW w:w="527" w:type="dxa"/>
          </w:tcPr>
          <w:p w14:paraId="3D953D39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215A7CEA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</w:tr>
      <w:tr w:rsidR="00A51D04" w:rsidRPr="00657C3E" w14:paraId="369DCA63" w14:textId="77777777" w:rsidTr="003E5DFE">
        <w:tc>
          <w:tcPr>
            <w:tcW w:w="3320" w:type="dxa"/>
            <w:hideMark/>
          </w:tcPr>
          <w:p w14:paraId="16D23812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19BDD253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223A6E14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0CC9407F" w14:textId="77777777" w:rsidTr="003E5DFE">
        <w:tc>
          <w:tcPr>
            <w:tcW w:w="3320" w:type="dxa"/>
            <w:hideMark/>
          </w:tcPr>
          <w:p w14:paraId="5E69F8A0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227408F7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5888A25A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348F3F24" w14:textId="77777777" w:rsidTr="003E5DFE">
        <w:tc>
          <w:tcPr>
            <w:tcW w:w="3320" w:type="dxa"/>
            <w:hideMark/>
          </w:tcPr>
          <w:p w14:paraId="1FBC0DE6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0C6DE828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6F6FF176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</w:tbl>
    <w:p w14:paraId="76762AE8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</w:p>
    <w:p w14:paraId="2E58F686" w14:textId="77777777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25F6506B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instrText xml:space="preserve"> FORMTEXT </w:instrTex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separate"/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end"/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 (Ügyfél)</w:t>
      </w:r>
    </w:p>
    <w:p w14:paraId="7577D543" w14:textId="77777777" w:rsidR="00A51D04" w:rsidRPr="00657C3E" w:rsidRDefault="00A51D04" w:rsidP="00A51D04">
      <w:pPr>
        <w:ind w:left="709" w:hanging="709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A51D04" w:rsidRPr="00657C3E" w14:paraId="4D047929" w14:textId="77777777" w:rsidTr="003E5DFE">
        <w:tc>
          <w:tcPr>
            <w:tcW w:w="3181" w:type="dxa"/>
            <w:hideMark/>
          </w:tcPr>
          <w:p w14:paraId="113D549E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  <w:tc>
          <w:tcPr>
            <w:tcW w:w="527" w:type="dxa"/>
          </w:tcPr>
          <w:p w14:paraId="78E3ECD0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5B00E956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</w:tr>
      <w:tr w:rsidR="00A51D04" w:rsidRPr="00657C3E" w14:paraId="0301F27F" w14:textId="77777777" w:rsidTr="003E5DFE">
        <w:tc>
          <w:tcPr>
            <w:tcW w:w="3181" w:type="dxa"/>
            <w:hideMark/>
          </w:tcPr>
          <w:p w14:paraId="3FA8E978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4E1176B0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0F030C77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08121DAA" w14:textId="77777777" w:rsidTr="003E5DFE">
        <w:tc>
          <w:tcPr>
            <w:tcW w:w="3181" w:type="dxa"/>
            <w:hideMark/>
          </w:tcPr>
          <w:p w14:paraId="7CC0ADA0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06D1DBE0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3BECD773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2E88B969" w14:textId="77777777" w:rsidTr="003E5DFE">
        <w:tc>
          <w:tcPr>
            <w:tcW w:w="3181" w:type="dxa"/>
            <w:hideMark/>
          </w:tcPr>
          <w:p w14:paraId="3A08AFCA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7A4CB896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6C525B62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</w:tbl>
    <w:p w14:paraId="4E3DBFE5" w14:textId="77777777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31F78A5C" w14:textId="77777777" w:rsidR="00A51D04" w:rsidRPr="00657C3E" w:rsidRDefault="00A51D04" w:rsidP="00A51D04">
      <w:pPr>
        <w:ind w:left="709" w:hanging="709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0083C0EB" w14:textId="77777777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br w:type="page"/>
      </w:r>
    </w:p>
    <w:p w14:paraId="598CB483" w14:textId="77777777" w:rsidR="00A51D04" w:rsidRPr="00657C3E" w:rsidRDefault="00A51D04" w:rsidP="00A51D04">
      <w:pPr>
        <w:jc w:val="center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lastRenderedPageBreak/>
        <w:t>XI. SZ. MELLÉKLET FÜGGELÉKE</w:t>
      </w:r>
    </w:p>
    <w:p w14:paraId="05F5E7D3" w14:textId="2FAFB819" w:rsidR="00A51D04" w:rsidRPr="00657C3E" w:rsidRDefault="00DD6E9E" w:rsidP="00A51D04">
      <w:pPr>
        <w:keepNext/>
        <w:jc w:val="center"/>
        <w:outlineLvl w:val="6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FXPM </w:t>
      </w:r>
      <w:r w:rsidR="000710C3"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ÜGYLET </w:t>
      </w:r>
      <w:r w:rsidR="00A51D04"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VISSZAIGAZOLÁS </w:t>
      </w:r>
    </w:p>
    <w:p w14:paraId="45CB4D9D" w14:textId="72740FF2" w:rsidR="00A51D04" w:rsidRPr="00657C3E" w:rsidRDefault="00A51D04" w:rsidP="00A51D04">
      <w:pPr>
        <w:keepNext/>
        <w:jc w:val="center"/>
        <w:outlineLvl w:val="6"/>
        <w:rPr>
          <w:rFonts w:ascii="Arial" w:eastAsia="Times New Roman" w:hAnsi="Arial" w:cs="Arial"/>
          <w:b/>
          <w:sz w:val="18"/>
          <w:szCs w:val="20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M   I   N   T   A</w: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AF385B" w:rsidRPr="00657C3E" w14:paraId="69606F4B" w14:textId="77777777" w:rsidTr="003E5DF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671FB33" w14:textId="6994B444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  <w:p w14:paraId="7DBE89B2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az “</w:t>
            </w:r>
            <w:r w:rsidRPr="00657C3E">
              <w:rPr>
                <w:rFonts w:ascii="Arial" w:eastAsia="Times New Roman" w:hAnsi="Arial" w:cs="Arial"/>
                <w:b/>
                <w:sz w:val="18"/>
                <w:szCs w:val="18"/>
                <w:lang w:val="hu-HU" w:eastAsia="hu-HU"/>
              </w:rPr>
              <w:t>Ügyfél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” neve, székhelye, levelezési címe, cégjegyzékszáma és címe:</w:t>
            </w:r>
          </w:p>
          <w:p w14:paraId="11B57E62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  <w:p w14:paraId="7ABE2DDF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  <w:p w14:paraId="6CF2ADA9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  <w:p w14:paraId="34FD0ABB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  <w:p w14:paraId="6A9175C8" w14:textId="77777777" w:rsidR="00AF385B" w:rsidRPr="00657C3E" w:rsidRDefault="00AF385B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Ügyfélszám: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</w:tbl>
    <w:p w14:paraId="1E2024A9" w14:textId="77777777" w:rsidR="00AF385B" w:rsidRPr="00657C3E" w:rsidRDefault="00AF385B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3B6F186F" w14:textId="00801759" w:rsidR="00AF385B" w:rsidRPr="00657C3E" w:rsidRDefault="00AF385B" w:rsidP="00AF385B">
      <w:pPr>
        <w:tabs>
          <w:tab w:val="left" w:pos="2410"/>
        </w:tabs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bCs/>
          <w:sz w:val="18"/>
          <w:szCs w:val="18"/>
          <w:lang w:val="hu-HU"/>
        </w:rPr>
        <w:t>Tárgy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: FXPM Ügylet visszaigazolása</w:t>
      </w:r>
    </w:p>
    <w:p w14:paraId="2E22EB69" w14:textId="77777777" w:rsidR="00AF385B" w:rsidRPr="00657C3E" w:rsidRDefault="00AF385B" w:rsidP="00AF385B">
      <w:pPr>
        <w:tabs>
          <w:tab w:val="left" w:pos="2410"/>
        </w:tabs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3DC12951" w14:textId="77777777" w:rsidR="00AF385B" w:rsidRPr="00657C3E" w:rsidRDefault="00AF385B" w:rsidP="00AF385B">
      <w:pPr>
        <w:tabs>
          <w:tab w:val="left" w:pos="2410"/>
        </w:tabs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338F504F" w14:textId="5E090749" w:rsidR="00A51D04" w:rsidRPr="00657C3E" w:rsidRDefault="007D12EC" w:rsidP="000710C3">
      <w:pPr>
        <w:pStyle w:val="ListParagraph"/>
        <w:numPr>
          <w:ilvl w:val="0"/>
          <w:numId w:val="10"/>
        </w:numPr>
        <w:tabs>
          <w:tab w:val="left" w:pos="2410"/>
        </w:tabs>
        <w:jc w:val="both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A </w:t>
      </w:r>
      <w:r w:rsidR="00A51D04"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Betét </w:t>
      </w:r>
      <w:r w:rsidR="00AF385B" w:rsidRPr="00657C3E">
        <w:rPr>
          <w:rFonts w:ascii="Arial" w:eastAsia="Times New Roman" w:hAnsi="Arial" w:cs="Arial"/>
          <w:b/>
          <w:sz w:val="18"/>
          <w:szCs w:val="18"/>
          <w:lang w:val="hu-HU"/>
        </w:rPr>
        <w:t>feltételei</w:t>
      </w:r>
    </w:p>
    <w:p w14:paraId="1C08B048" w14:textId="77777777" w:rsidR="00A51D04" w:rsidRPr="00657C3E" w:rsidRDefault="00A51D04" w:rsidP="00A51D04">
      <w:pPr>
        <w:tabs>
          <w:tab w:val="left" w:pos="2410"/>
        </w:tabs>
        <w:ind w:left="567" w:hanging="567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419E67BC" w14:textId="430C58E7" w:rsidR="007D12EC" w:rsidRPr="00657C3E" w:rsidRDefault="00AF385B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Lekötött összeg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 xml:space="preserve"> és devizaneme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:</w:t>
      </w:r>
      <w:r w:rsidR="00A51D04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................................. azaz ..................... Forint/..........</w:t>
      </w:r>
    </w:p>
    <w:p w14:paraId="145F7BDF" w14:textId="00F4F1E1" w:rsidR="00A51D04" w:rsidRPr="00657C3E" w:rsidRDefault="007D12EC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F</w:t>
      </w:r>
      <w:r w:rsidR="002A2D4B" w:rsidRPr="00657C3E">
        <w:rPr>
          <w:rFonts w:ascii="Arial" w:eastAsia="Times New Roman" w:hAnsi="Arial" w:cs="Arial"/>
          <w:sz w:val="18"/>
          <w:szCs w:val="18"/>
          <w:lang w:val="hu-HU"/>
        </w:rPr>
        <w:t>olyószáml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a, amelyen a lekötés történik: 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>………………………………..</w:t>
      </w:r>
      <w:r w:rsidR="002A2D4B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</w:p>
    <w:p w14:paraId="16D2D24C" w14:textId="451A9BC1" w:rsidR="00A51D04" w:rsidRPr="00657C3E" w:rsidRDefault="00A51D0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Lekötés időtartama: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………………………….</w:t>
      </w:r>
    </w:p>
    <w:p w14:paraId="30DA764B" w14:textId="3A41AB8B" w:rsidR="00A51D04" w:rsidRPr="00657C3E" w:rsidRDefault="00A51D0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Lekötés napja: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ab/>
        <w:t>20../.../...</w:t>
      </w:r>
    </w:p>
    <w:p w14:paraId="47F8D611" w14:textId="428B1E57" w:rsidR="00A51D04" w:rsidRPr="00657C3E" w:rsidRDefault="00A51D0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Lejárat napja: 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ab/>
        <w:t>20../.../...</w:t>
      </w:r>
    </w:p>
    <w:p w14:paraId="18C8FA6A" w14:textId="4BBB7C92" w:rsidR="00A51D04" w:rsidRPr="00657C3E" w:rsidRDefault="00E10A37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K</w:t>
      </w:r>
      <w:r w:rsidR="00A51D04" w:rsidRPr="00657C3E">
        <w:rPr>
          <w:rFonts w:ascii="Arial" w:eastAsia="Times New Roman" w:hAnsi="Arial" w:cs="Arial"/>
          <w:sz w:val="18"/>
          <w:szCs w:val="18"/>
          <w:lang w:val="hu-HU"/>
        </w:rPr>
        <w:t>amat: ....  %</w:t>
      </w:r>
    </w:p>
    <w:p w14:paraId="713B8115" w14:textId="77777777" w:rsidR="00A51D04" w:rsidRPr="00657C3E" w:rsidRDefault="00A51D04" w:rsidP="00A51D04">
      <w:pPr>
        <w:tabs>
          <w:tab w:val="left" w:pos="2410"/>
        </w:tabs>
        <w:ind w:left="567" w:hanging="567"/>
        <w:jc w:val="both"/>
        <w:rPr>
          <w:rFonts w:ascii="Arial" w:eastAsia="Times New Roman" w:hAnsi="Arial" w:cs="Arial"/>
          <w:iCs/>
          <w:sz w:val="18"/>
          <w:szCs w:val="18"/>
          <w:lang w:val="hu-HU"/>
        </w:rPr>
      </w:pPr>
    </w:p>
    <w:p w14:paraId="12D3F4E6" w14:textId="03A6E461" w:rsidR="00A51D04" w:rsidRPr="00657C3E" w:rsidRDefault="007D12EC" w:rsidP="000710C3">
      <w:pPr>
        <w:pStyle w:val="ListParagraph"/>
        <w:numPr>
          <w:ilvl w:val="0"/>
          <w:numId w:val="10"/>
        </w:numPr>
        <w:tabs>
          <w:tab w:val="left" w:pos="2410"/>
        </w:tabs>
        <w:jc w:val="both"/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Az </w:t>
      </w:r>
      <w:r w:rsidR="00A51D04" w:rsidRPr="00657C3E">
        <w:rPr>
          <w:rFonts w:ascii="Arial" w:eastAsia="Times New Roman" w:hAnsi="Arial" w:cs="Arial"/>
          <w:b/>
          <w:sz w:val="18"/>
          <w:szCs w:val="18"/>
          <w:lang w:val="hu-HU"/>
        </w:rPr>
        <w:t>Opció</w:t>
      </w:r>
      <w:r w:rsidR="00E06DA3"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 feltételei</w:t>
      </w:r>
    </w:p>
    <w:p w14:paraId="7FE0DB85" w14:textId="6572A1F1" w:rsidR="00A02974" w:rsidRPr="00657C3E" w:rsidRDefault="00A02974" w:rsidP="00A51D04">
      <w:pPr>
        <w:tabs>
          <w:tab w:val="left" w:pos="2410"/>
        </w:tabs>
        <w:ind w:left="567" w:hanging="567"/>
        <w:jc w:val="both"/>
        <w:rPr>
          <w:rFonts w:ascii="Arial" w:eastAsia="Times New Roman" w:hAnsi="Arial" w:cs="Arial"/>
          <w:color w:val="000000"/>
          <w:sz w:val="18"/>
          <w:szCs w:val="18"/>
          <w:lang w:val="hu-HU"/>
        </w:rPr>
      </w:pPr>
    </w:p>
    <w:p w14:paraId="1A19F1B4" w14:textId="7FCE57FE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Referencia devizapár: 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>………………………………</w:t>
      </w:r>
    </w:p>
    <w:p w14:paraId="705A36B7" w14:textId="02484180" w:rsidR="00A02974" w:rsidRPr="00657C3E" w:rsidRDefault="00A02974" w:rsidP="007D12EC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Lehívás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apja: 20../.../... </w:t>
      </w:r>
    </w:p>
    <w:p w14:paraId="4E70971E" w14:textId="5501762E" w:rsidR="009F2490" w:rsidRPr="00657C3E" w:rsidRDefault="009F2490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ötésár vizsgálatának időpontja: 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>……………………………..</w:t>
      </w:r>
    </w:p>
    <w:p w14:paraId="4FF210C0" w14:textId="49B193F7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Lehívás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i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F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eltétel: a Lehívás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N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apján </w:t>
      </w:r>
      <w:r w:rsidR="006E44B1">
        <w:rPr>
          <w:rFonts w:ascii="Arial" w:eastAsia="Times New Roman" w:hAnsi="Arial" w:cs="Arial"/>
          <w:sz w:val="18"/>
          <w:szCs w:val="18"/>
          <w:lang w:val="hu-HU"/>
        </w:rPr>
        <w:t>az azonnali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</w:t>
      </w:r>
      <w:r w:rsidR="009F2490" w:rsidRPr="00657C3E">
        <w:rPr>
          <w:rFonts w:ascii="Arial" w:eastAsia="Times New Roman" w:hAnsi="Arial" w:cs="Arial"/>
          <w:sz w:val="18"/>
          <w:szCs w:val="18"/>
          <w:lang w:val="hu-HU"/>
        </w:rPr>
        <w:t>……………..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árfolyam 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az Opciós </w:t>
      </w:r>
      <w:r w:rsidR="00E222AD">
        <w:rPr>
          <w:rFonts w:ascii="Arial" w:eastAsia="Times New Roman" w:hAnsi="Arial" w:cs="Arial"/>
          <w:sz w:val="18"/>
          <w:szCs w:val="18"/>
          <w:lang w:val="hu-HU"/>
        </w:rPr>
        <w:t>K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ötésár alatt van vagy eléri azt / eléri vagy meghaladja az Opciós </w:t>
      </w:r>
      <w:r w:rsidR="00E222AD">
        <w:rPr>
          <w:rFonts w:ascii="Arial" w:eastAsia="Times New Roman" w:hAnsi="Arial" w:cs="Arial"/>
          <w:sz w:val="18"/>
          <w:szCs w:val="18"/>
          <w:lang w:val="hu-HU"/>
        </w:rPr>
        <w:t>K</w:t>
      </w:r>
      <w:r w:rsidR="00642253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ötésárat </w:t>
      </w:r>
    </w:p>
    <w:p w14:paraId="147982C6" w14:textId="2CA64D84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Opciós </w:t>
      </w:r>
      <w:r w:rsidR="009D508A">
        <w:rPr>
          <w:rFonts w:ascii="Arial" w:eastAsia="Times New Roman" w:hAnsi="Arial" w:cs="Arial"/>
          <w:sz w:val="18"/>
          <w:szCs w:val="18"/>
          <w:lang w:val="hu-HU"/>
        </w:rPr>
        <w:t>K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ötésár: ……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>…………………………</w:t>
      </w:r>
    </w:p>
    <w:p w14:paraId="149AA46C" w14:textId="66BFE5F4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Terhelés értéknapja: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0BA28972" w14:textId="50E0F7EC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Jóváírás értéknapja: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757F9574" w14:textId="3D397FCC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Elszámolási számla: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36E03C34" w14:textId="750E2452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Ellenérték számla: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4831570D" w14:textId="198F8F62" w:rsidR="00A02974" w:rsidRPr="00657C3E" w:rsidRDefault="00C004B3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Ügyletkötés</w:t>
      </w:r>
      <w:r w:rsidR="00A02974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időpontja</w:t>
      </w:r>
      <w:r w:rsidRPr="00657C3E">
        <w:rPr>
          <w:rFonts w:ascii="Arial" w:eastAsia="Times New Roman" w:hAnsi="Arial" w:cs="Arial"/>
          <w:sz w:val="18"/>
          <w:szCs w:val="18"/>
          <w:lang w:val="hu-HU"/>
        </w:rPr>
        <w:t>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27E562B1" w14:textId="0AB14416" w:rsidR="00A02974" w:rsidRPr="00657C3E" w:rsidRDefault="00A02974" w:rsidP="000710C3">
      <w:pPr>
        <w:pStyle w:val="ListParagraph"/>
        <w:numPr>
          <w:ilvl w:val="1"/>
          <w:numId w:val="10"/>
        </w:numPr>
        <w:tabs>
          <w:tab w:val="left" w:pos="2410"/>
        </w:tabs>
        <w:ind w:left="993" w:hanging="633"/>
        <w:jc w:val="both"/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Helyszín meghatározása</w:t>
      </w:r>
      <w:r w:rsidR="007D12EC" w:rsidRPr="00657C3E">
        <w:rPr>
          <w:rFonts w:ascii="Arial" w:eastAsia="Times New Roman" w:hAnsi="Arial" w:cs="Arial"/>
          <w:sz w:val="18"/>
          <w:szCs w:val="18"/>
          <w:lang w:val="hu-HU"/>
        </w:rPr>
        <w:t>:</w:t>
      </w:r>
      <w:r w:rsidR="00DD6E9E" w:rsidRPr="00657C3E">
        <w:rPr>
          <w:rFonts w:ascii="Arial" w:eastAsia="Times New Roman" w:hAnsi="Arial" w:cs="Arial"/>
          <w:sz w:val="18"/>
          <w:szCs w:val="18"/>
          <w:lang w:val="hu-HU"/>
        </w:rPr>
        <w:t xml:space="preserve"> ………………………………</w:t>
      </w:r>
    </w:p>
    <w:p w14:paraId="6BD13AF7" w14:textId="77777777" w:rsidR="00A51D04" w:rsidRPr="00657C3E" w:rsidRDefault="00A51D04" w:rsidP="00A51D04">
      <w:pPr>
        <w:tabs>
          <w:tab w:val="left" w:pos="2410"/>
        </w:tabs>
        <w:ind w:left="567" w:hanging="567"/>
        <w:jc w:val="both"/>
        <w:rPr>
          <w:rFonts w:ascii="Arial" w:eastAsia="Times New Roman" w:hAnsi="Arial" w:cs="Arial"/>
          <w:sz w:val="18"/>
          <w:szCs w:val="18"/>
          <w:lang w:val="hu-HU"/>
        </w:rPr>
      </w:pPr>
    </w:p>
    <w:p w14:paraId="4B654056" w14:textId="77777777" w:rsidR="00A51D04" w:rsidRPr="00657C3E" w:rsidRDefault="00A51D04" w:rsidP="00A51D04">
      <w:pPr>
        <w:tabs>
          <w:tab w:val="left" w:pos="2410"/>
        </w:tabs>
        <w:ind w:left="357"/>
        <w:contextualSpacing/>
        <w:jc w:val="both"/>
        <w:rPr>
          <w:rFonts w:ascii="Arial" w:eastAsia="Times New Roman" w:hAnsi="Arial" w:cs="Arial"/>
          <w:b/>
          <w:sz w:val="18"/>
          <w:szCs w:val="18"/>
          <w:lang w:val="hu-HU"/>
        </w:rPr>
      </w:pPr>
    </w:p>
    <w:p w14:paraId="77E3840C" w14:textId="25D2F5DB" w:rsidR="00A51D04" w:rsidRPr="00657C3E" w:rsidRDefault="00A51D04" w:rsidP="00A51D04">
      <w:pPr>
        <w:tabs>
          <w:tab w:val="left" w:pos="2410"/>
        </w:tabs>
        <w:ind w:left="567" w:hanging="567"/>
        <w:jc w:val="both"/>
        <w:rPr>
          <w:rFonts w:ascii="Arial" w:eastAsia="Times New Roman" w:hAnsi="Arial" w:cs="Arial"/>
          <w:i/>
          <w:iCs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jelen Szerződésben nem szabályozott kérdésekben a Keretszerződés az irányadó</w:t>
      </w:r>
      <w:r w:rsidR="00657C3E" w:rsidRPr="00657C3E">
        <w:rPr>
          <w:rFonts w:ascii="Arial" w:eastAsia="Times New Roman" w:hAnsi="Arial" w:cs="Arial"/>
          <w:sz w:val="18"/>
          <w:szCs w:val="18"/>
          <w:lang w:val="hu-HU"/>
        </w:rPr>
        <w:t>.</w:t>
      </w:r>
    </w:p>
    <w:p w14:paraId="6E4DC488" w14:textId="77777777" w:rsidR="00A51D04" w:rsidRPr="00657C3E" w:rsidRDefault="00A51D04" w:rsidP="00A51D04">
      <w:pPr>
        <w:tabs>
          <w:tab w:val="left" w:pos="2410"/>
        </w:tabs>
        <w:ind w:left="567" w:hanging="567"/>
        <w:rPr>
          <w:rFonts w:ascii="Arial" w:eastAsia="Times New Roman" w:hAnsi="Arial" w:cs="Arial"/>
          <w:sz w:val="18"/>
          <w:szCs w:val="18"/>
          <w:lang w:val="hu-HU"/>
        </w:rPr>
      </w:pPr>
    </w:p>
    <w:p w14:paraId="38797F22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>UniCredit Bank Hungary Zrt.</w:t>
      </w:r>
    </w:p>
    <w:p w14:paraId="280EFA38" w14:textId="77777777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A51D04" w:rsidRPr="00657C3E" w14:paraId="6A9C75DC" w14:textId="77777777" w:rsidTr="003E5DFE">
        <w:tc>
          <w:tcPr>
            <w:tcW w:w="3320" w:type="dxa"/>
            <w:hideMark/>
          </w:tcPr>
          <w:p w14:paraId="61A1F907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  <w:tc>
          <w:tcPr>
            <w:tcW w:w="527" w:type="dxa"/>
          </w:tcPr>
          <w:p w14:paraId="1DDB74B6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07192491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</w:tr>
      <w:tr w:rsidR="00A51D04" w:rsidRPr="00657C3E" w14:paraId="63CE4905" w14:textId="77777777" w:rsidTr="003E5DFE">
        <w:tc>
          <w:tcPr>
            <w:tcW w:w="3320" w:type="dxa"/>
            <w:hideMark/>
          </w:tcPr>
          <w:p w14:paraId="0F62790D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4FCAB26D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2E2BDD1C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65582FFA" w14:textId="77777777" w:rsidTr="003E5DFE">
        <w:tc>
          <w:tcPr>
            <w:tcW w:w="3320" w:type="dxa"/>
            <w:hideMark/>
          </w:tcPr>
          <w:p w14:paraId="7BD43A73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17D354BA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21661C4B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43EA7D91" w14:textId="77777777" w:rsidTr="003E5DFE">
        <w:tc>
          <w:tcPr>
            <w:tcW w:w="3320" w:type="dxa"/>
            <w:hideMark/>
          </w:tcPr>
          <w:p w14:paraId="033575A5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34EEFD07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4F6DD753" w14:textId="77777777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</w:tbl>
    <w:p w14:paraId="15E00B87" w14:textId="4620F330" w:rsidR="00A51D04" w:rsidRPr="00657C3E" w:rsidRDefault="00A51D04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791E5306" w14:textId="727BD02F" w:rsidR="00263CDD" w:rsidRPr="00657C3E" w:rsidRDefault="00263CDD" w:rsidP="00A51D04">
      <w:pPr>
        <w:rPr>
          <w:rFonts w:ascii="Arial" w:eastAsia="Times New Roman" w:hAnsi="Arial" w:cs="Arial"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sz w:val="18"/>
          <w:szCs w:val="18"/>
          <w:lang w:val="hu-HU"/>
        </w:rPr>
        <w:t>A Visszaigazolásban foglalt feltételeket elfogadom.</w:t>
      </w:r>
    </w:p>
    <w:p w14:paraId="203A7DAA" w14:textId="77777777" w:rsidR="00263CDD" w:rsidRPr="00657C3E" w:rsidRDefault="00263CDD" w:rsidP="00A51D04">
      <w:pPr>
        <w:rPr>
          <w:rFonts w:ascii="Arial" w:eastAsia="Times New Roman" w:hAnsi="Arial" w:cs="Arial"/>
          <w:sz w:val="18"/>
          <w:szCs w:val="18"/>
          <w:lang w:val="hu-HU"/>
        </w:rPr>
      </w:pPr>
    </w:p>
    <w:p w14:paraId="4F270A71" w14:textId="08314FB3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instrText xml:space="preserve"> FORMTEXT </w:instrTex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separate"/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noProof/>
          <w:sz w:val="18"/>
          <w:szCs w:val="18"/>
          <w:lang w:val="hu-HU"/>
        </w:rPr>
        <w:t> </w:t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fldChar w:fldCharType="end"/>
      </w:r>
      <w:r w:rsidRPr="00657C3E">
        <w:rPr>
          <w:rFonts w:ascii="Arial" w:eastAsia="Times New Roman" w:hAnsi="Arial" w:cs="Arial"/>
          <w:b/>
          <w:sz w:val="18"/>
          <w:szCs w:val="18"/>
          <w:lang w:val="hu-HU"/>
        </w:rPr>
        <w:t xml:space="preserve"> (Ügyfél)</w:t>
      </w:r>
    </w:p>
    <w:p w14:paraId="27C86712" w14:textId="66CB438B" w:rsidR="00A51D04" w:rsidRPr="00657C3E" w:rsidRDefault="00A51D04" w:rsidP="00A51D04">
      <w:pPr>
        <w:rPr>
          <w:rFonts w:ascii="Arial" w:eastAsia="Times New Roman" w:hAnsi="Arial" w:cs="Arial"/>
          <w:b/>
          <w:sz w:val="18"/>
          <w:szCs w:val="18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A51D04" w:rsidRPr="00657C3E" w14:paraId="1A6A6706" w14:textId="6D460A8A" w:rsidTr="003E5DFE">
        <w:tc>
          <w:tcPr>
            <w:tcW w:w="3320" w:type="dxa"/>
            <w:hideMark/>
          </w:tcPr>
          <w:p w14:paraId="4E26E518" w14:textId="39F35D82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  <w:tc>
          <w:tcPr>
            <w:tcW w:w="527" w:type="dxa"/>
          </w:tcPr>
          <w:p w14:paraId="452FB577" w14:textId="48571E4A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525177B6" w14:textId="01EFF2E6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>_______________________________</w:t>
            </w:r>
          </w:p>
        </w:tc>
      </w:tr>
      <w:tr w:rsidR="00A51D04" w:rsidRPr="00657C3E" w14:paraId="780E55DD" w14:textId="7A65EF6D" w:rsidTr="003E5DFE">
        <w:tc>
          <w:tcPr>
            <w:tcW w:w="3320" w:type="dxa"/>
            <w:hideMark/>
          </w:tcPr>
          <w:p w14:paraId="7EFF05DA" w14:textId="759F4699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189070A3" w14:textId="7A6448AD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783DDB2D" w14:textId="2BDA8D28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Név: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657C3E" w14:paraId="69F1C610" w14:textId="18046197" w:rsidTr="003E5DFE">
        <w:tc>
          <w:tcPr>
            <w:tcW w:w="3320" w:type="dxa"/>
            <w:hideMark/>
          </w:tcPr>
          <w:p w14:paraId="5900FDB0" w14:textId="7C548F7C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16113343" w14:textId="5311767E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2CE86184" w14:textId="567D17BC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Beosztás: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  <w:tr w:rsidR="00A51D04" w:rsidRPr="00A51D04" w14:paraId="2AFC1F88" w14:textId="001C1FEE" w:rsidTr="003E5DFE">
        <w:tc>
          <w:tcPr>
            <w:tcW w:w="3320" w:type="dxa"/>
            <w:hideMark/>
          </w:tcPr>
          <w:p w14:paraId="7B484E18" w14:textId="7B354C8A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  <w:tc>
          <w:tcPr>
            <w:tcW w:w="527" w:type="dxa"/>
          </w:tcPr>
          <w:p w14:paraId="1FE8D958" w14:textId="46C63D86" w:rsidR="00A51D04" w:rsidRPr="00657C3E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</w:p>
        </w:tc>
        <w:tc>
          <w:tcPr>
            <w:tcW w:w="3420" w:type="dxa"/>
            <w:hideMark/>
          </w:tcPr>
          <w:p w14:paraId="42E6CABA" w14:textId="18549671" w:rsidR="00A51D04" w:rsidRPr="00A51D04" w:rsidRDefault="00A51D04" w:rsidP="00A51D04">
            <w:pPr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pP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t xml:space="preserve">Dátum: 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instrText xml:space="preserve"> FORMTEXT </w:instrTex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separate"/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noProof/>
                <w:sz w:val="18"/>
                <w:szCs w:val="18"/>
                <w:lang w:val="hu-HU" w:eastAsia="hu-HU"/>
              </w:rPr>
              <w:t> </w:t>
            </w:r>
            <w:r w:rsidRPr="00657C3E">
              <w:rPr>
                <w:rFonts w:ascii="Arial" w:eastAsia="Times New Roman" w:hAnsi="Arial" w:cs="Arial"/>
                <w:sz w:val="18"/>
                <w:szCs w:val="18"/>
                <w:lang w:val="hu-HU" w:eastAsia="hu-HU"/>
              </w:rPr>
              <w:fldChar w:fldCharType="end"/>
            </w:r>
          </w:p>
        </w:tc>
      </w:tr>
    </w:tbl>
    <w:p w14:paraId="5B0FBB35" w14:textId="77777777" w:rsidR="00882A1B" w:rsidRPr="00D96778" w:rsidRDefault="00882A1B" w:rsidP="004B4B7C">
      <w:pPr>
        <w:rPr>
          <w:lang w:val="hu-HU"/>
        </w:rPr>
      </w:pPr>
    </w:p>
    <w:sectPr w:rsidR="00882A1B" w:rsidRPr="00D96778" w:rsidSect="00252C8D">
      <w:pgSz w:w="12240" w:h="15840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8ACE" w14:textId="77777777" w:rsidR="00A51D04" w:rsidRDefault="00A51D04" w:rsidP="00890AFA">
      <w:r>
        <w:separator/>
      </w:r>
    </w:p>
  </w:endnote>
  <w:endnote w:type="continuationSeparator" w:id="0">
    <w:p w14:paraId="1D78710A" w14:textId="77777777" w:rsidR="00A51D04" w:rsidRDefault="00A51D04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B860" w14:textId="77777777" w:rsidR="00A51D04" w:rsidRDefault="00A51D04" w:rsidP="00890AFA">
      <w:r>
        <w:separator/>
      </w:r>
    </w:p>
  </w:footnote>
  <w:footnote w:type="continuationSeparator" w:id="0">
    <w:p w14:paraId="3C13DE3C" w14:textId="77777777" w:rsidR="00A51D04" w:rsidRDefault="00A51D04" w:rsidP="0089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1964"/>
    <w:multiLevelType w:val="hybridMultilevel"/>
    <w:tmpl w:val="9492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396"/>
    <w:multiLevelType w:val="hybridMultilevel"/>
    <w:tmpl w:val="354AB3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D75015"/>
    <w:multiLevelType w:val="multilevel"/>
    <w:tmpl w:val="85A24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5A6A3E"/>
    <w:multiLevelType w:val="multilevel"/>
    <w:tmpl w:val="A21217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51444B"/>
    <w:multiLevelType w:val="hybridMultilevel"/>
    <w:tmpl w:val="354AB3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BC4C44"/>
    <w:multiLevelType w:val="multilevel"/>
    <w:tmpl w:val="AB6CC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78D0294"/>
    <w:multiLevelType w:val="hybridMultilevel"/>
    <w:tmpl w:val="16529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25E0"/>
    <w:multiLevelType w:val="multilevel"/>
    <w:tmpl w:val="49C8D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4165FE"/>
    <w:multiLevelType w:val="hybridMultilevel"/>
    <w:tmpl w:val="0F989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067E7"/>
    <w:multiLevelType w:val="multilevel"/>
    <w:tmpl w:val="98E8A7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664858"/>
    <w:multiLevelType w:val="multilevel"/>
    <w:tmpl w:val="F9A27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24142648">
    <w:abstractNumId w:val="9"/>
  </w:num>
  <w:num w:numId="2" w16cid:durableId="263803633">
    <w:abstractNumId w:val="3"/>
  </w:num>
  <w:num w:numId="3" w16cid:durableId="674114809">
    <w:abstractNumId w:val="6"/>
  </w:num>
  <w:num w:numId="4" w16cid:durableId="225379033">
    <w:abstractNumId w:val="8"/>
  </w:num>
  <w:num w:numId="5" w16cid:durableId="1661228455">
    <w:abstractNumId w:val="1"/>
  </w:num>
  <w:num w:numId="6" w16cid:durableId="218053140">
    <w:abstractNumId w:val="2"/>
  </w:num>
  <w:num w:numId="7" w16cid:durableId="481582888">
    <w:abstractNumId w:val="5"/>
  </w:num>
  <w:num w:numId="8" w16cid:durableId="715395236">
    <w:abstractNumId w:val="0"/>
  </w:num>
  <w:num w:numId="9" w16cid:durableId="811218344">
    <w:abstractNumId w:val="7"/>
  </w:num>
  <w:num w:numId="10" w16cid:durableId="1598639258">
    <w:abstractNumId w:val="10"/>
  </w:num>
  <w:num w:numId="11" w16cid:durableId="96026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qY1kbxQOXDuylGpsZBro+S25nnwLgJrPm5jReACI7ySeuEtxa8cerMeFU/q+iR96R4nptOYXi+m6jNFlTElvQ==" w:salt="Uzs4SHJyPX4XJBJt3MRgH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04"/>
    <w:rsid w:val="00024B53"/>
    <w:rsid w:val="000710C3"/>
    <w:rsid w:val="001727DD"/>
    <w:rsid w:val="001D68F9"/>
    <w:rsid w:val="001F10E2"/>
    <w:rsid w:val="00221C12"/>
    <w:rsid w:val="002457F8"/>
    <w:rsid w:val="00252C8D"/>
    <w:rsid w:val="00263CDD"/>
    <w:rsid w:val="002A2D4B"/>
    <w:rsid w:val="002B0F22"/>
    <w:rsid w:val="002E3532"/>
    <w:rsid w:val="003C748A"/>
    <w:rsid w:val="003D0819"/>
    <w:rsid w:val="003E080B"/>
    <w:rsid w:val="00404D8C"/>
    <w:rsid w:val="00476C1C"/>
    <w:rsid w:val="004B4B7C"/>
    <w:rsid w:val="0062456D"/>
    <w:rsid w:val="00642253"/>
    <w:rsid w:val="00657C3E"/>
    <w:rsid w:val="006942F9"/>
    <w:rsid w:val="006D4C57"/>
    <w:rsid w:val="006D6BD7"/>
    <w:rsid w:val="006E44B1"/>
    <w:rsid w:val="007D12EC"/>
    <w:rsid w:val="00844D7A"/>
    <w:rsid w:val="00865D8E"/>
    <w:rsid w:val="00882A1B"/>
    <w:rsid w:val="00890AFA"/>
    <w:rsid w:val="008E559D"/>
    <w:rsid w:val="009154AD"/>
    <w:rsid w:val="009D3476"/>
    <w:rsid w:val="009D508A"/>
    <w:rsid w:val="009D5580"/>
    <w:rsid w:val="009F1FD0"/>
    <w:rsid w:val="009F2490"/>
    <w:rsid w:val="00A02974"/>
    <w:rsid w:val="00A057EB"/>
    <w:rsid w:val="00A2552D"/>
    <w:rsid w:val="00A51D04"/>
    <w:rsid w:val="00A973A4"/>
    <w:rsid w:val="00AF385B"/>
    <w:rsid w:val="00B7016C"/>
    <w:rsid w:val="00BF1BF9"/>
    <w:rsid w:val="00C004B3"/>
    <w:rsid w:val="00CB151B"/>
    <w:rsid w:val="00D96778"/>
    <w:rsid w:val="00DA35D6"/>
    <w:rsid w:val="00DD6E9E"/>
    <w:rsid w:val="00E06DA3"/>
    <w:rsid w:val="00E10A37"/>
    <w:rsid w:val="00E222AD"/>
    <w:rsid w:val="00E669BA"/>
    <w:rsid w:val="00F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6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FA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FA"/>
    <w:rPr>
      <w:sz w:val="20"/>
      <w:lang w:val="de-DE"/>
    </w:rPr>
  </w:style>
  <w:style w:type="character" w:styleId="FootnoteReference">
    <w:name w:val="footnote reference"/>
    <w:basedOn w:val="DefaultParagraphFont"/>
    <w:uiPriority w:val="99"/>
    <w:semiHidden/>
    <w:rsid w:val="00A51D0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51D0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D0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727DD"/>
    <w:pPr>
      <w:ind w:left="720"/>
      <w:contextualSpacing/>
    </w:pPr>
  </w:style>
  <w:style w:type="paragraph" w:styleId="Revision">
    <w:name w:val="Revision"/>
    <w:hidden/>
    <w:uiPriority w:val="99"/>
    <w:semiHidden/>
    <w:rsid w:val="00F10C99"/>
    <w:pPr>
      <w:spacing w:after="0" w:line="240" w:lineRule="auto"/>
    </w:pPr>
    <w:rPr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24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B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B53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B53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CGArial">
  <a:themeElements>
    <a:clrScheme name="UCGColors">
      <a:dk1>
        <a:srgbClr val="000000"/>
      </a:dk1>
      <a:lt1>
        <a:srgbClr val="FFFFFF"/>
      </a:lt1>
      <a:dk2>
        <a:srgbClr val="666666"/>
      </a:dk2>
      <a:lt2>
        <a:srgbClr val="E5E5E5"/>
      </a:lt2>
      <a:accent1>
        <a:srgbClr val="E2001A"/>
      </a:accent1>
      <a:accent2>
        <a:srgbClr val="666666"/>
      </a:accent2>
      <a:accent3>
        <a:srgbClr val="4C4C4C"/>
      </a:accent3>
      <a:accent4>
        <a:srgbClr val="B8860B"/>
      </a:accent4>
      <a:accent5>
        <a:srgbClr val="EC6608"/>
      </a:accent5>
      <a:accent6>
        <a:srgbClr val="899E00"/>
      </a:accent6>
      <a:hlink>
        <a:srgbClr val="007A91"/>
      </a:hlink>
      <a:folHlink>
        <a:srgbClr val="007A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UniCredit" id="{FEC4543A-5506-46B6-BB43-9DC5518B395B}" vid="{8BD5B8CA-27DC-4788-BE41-A870883ABED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2024-02-12T09:26:00Z</dcterms:created>
  <dcterms:modified xsi:type="dcterms:W3CDTF">2024-02-12T09:27:00Z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2024-02-12T09:27:25Z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a8b0be09-a7f3-4a7f-8d77-b34888586516</vt:lpwstr>
  </property>
  <property fmtid="{D5CDD505-2E9C-101B-9397-08002B2CF9AE}" pid="8" name="MSIP_Label_29db9e61-aac5-4f6e-805d-ceb8cb9983a1_ContentBits">
    <vt:lpwstr>0</vt:lpwstr>
  </property>
</Properties>
</file>