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D31E" w14:textId="77777777" w:rsidR="0039485D" w:rsidRDefault="0039485D" w:rsidP="0039485D">
      <w:pPr>
        <w:jc w:val="right"/>
        <w:rPr>
          <w:rFonts w:ascii="Arial" w:hAnsi="Arial" w:cs="Arial"/>
        </w:rPr>
      </w:pPr>
      <w:r>
        <w:rPr>
          <w:rFonts w:ascii="Code 128" w:hAnsi="Code 128"/>
          <w:sz w:val="80"/>
          <w:szCs w:val="80"/>
        </w:rPr>
        <w:t>Ì</w:t>
      </w:r>
      <w:bookmarkStart w:id="0" w:name="BarCodeWithCheckSum"/>
      <w:bookmarkEnd w:id="0"/>
      <w:r>
        <w:rPr>
          <w:rFonts w:ascii="Code 128" w:hAnsi="Code 128"/>
          <w:sz w:val="80"/>
          <w:szCs w:val="80"/>
        </w:rPr>
        <w:t>Î</w:t>
      </w:r>
    </w:p>
    <w:p w14:paraId="5CDCDF84" w14:textId="77777777" w:rsidR="0039485D" w:rsidRDefault="0039485D" w:rsidP="0039485D">
      <w:pPr>
        <w:ind w:right="187"/>
        <w:jc w:val="right"/>
        <w:rPr>
          <w:rFonts w:ascii="Arial" w:hAnsi="Arial" w:cs="Arial"/>
        </w:rPr>
      </w:pPr>
      <w:bookmarkStart w:id="1" w:name="BarCode"/>
      <w:bookmarkEnd w:id="1"/>
    </w:p>
    <w:p w14:paraId="2077BEF2" w14:textId="77777777" w:rsidR="0039485D" w:rsidRDefault="0039485D">
      <w:pPr>
        <w:pStyle w:val="Title"/>
        <w:spacing w:after="0"/>
        <w:rPr>
          <w:rFonts w:ascii="Arial" w:hAnsi="Arial" w:cs="Arial"/>
          <w:b/>
          <w:sz w:val="20"/>
          <w:lang w:val="hu-HU"/>
        </w:rPr>
      </w:pPr>
    </w:p>
    <w:p w14:paraId="2CE50449" w14:textId="77777777" w:rsidR="00C07686" w:rsidRPr="009F725F" w:rsidRDefault="00C07686">
      <w:pPr>
        <w:pStyle w:val="Title"/>
        <w:spacing w:after="0"/>
        <w:rPr>
          <w:rFonts w:ascii="Arial" w:hAnsi="Arial" w:cs="Arial"/>
          <w:b/>
          <w:sz w:val="20"/>
          <w:lang w:val="hu-HU"/>
        </w:rPr>
      </w:pPr>
      <w:r w:rsidRPr="009F725F">
        <w:rPr>
          <w:rFonts w:ascii="Arial" w:hAnsi="Arial" w:cs="Arial"/>
          <w:b/>
          <w:sz w:val="20"/>
          <w:lang w:val="hu-HU"/>
        </w:rPr>
        <w:t xml:space="preserve">NYUGDÍJ-ELŐTAKARÉKOSSÁGI SZÁMLASZERZŐDÉS </w:t>
      </w:r>
    </w:p>
    <w:p w14:paraId="68E22B1A" w14:textId="77777777" w:rsidR="00C07686" w:rsidRPr="009F725F" w:rsidRDefault="00C07686">
      <w:pPr>
        <w:pStyle w:val="Title"/>
        <w:spacing w:after="0"/>
        <w:rPr>
          <w:rFonts w:ascii="Arial" w:hAnsi="Arial" w:cs="Arial"/>
          <w:b/>
          <w:i/>
          <w:iCs/>
          <w:sz w:val="20"/>
          <w:lang w:val="hu-HU"/>
        </w:rPr>
      </w:pPr>
      <w:r w:rsidRPr="009F725F">
        <w:rPr>
          <w:rFonts w:ascii="Arial" w:hAnsi="Arial" w:cs="Arial"/>
          <w:b/>
          <w:noProof/>
          <w:sz w:val="20"/>
          <w:lang w:val="hu-HU"/>
        </w:rPr>
        <w:t>(„</w:t>
      </w:r>
      <w:r w:rsidR="00331694" w:rsidRPr="009F725F">
        <w:rPr>
          <w:rFonts w:ascii="Arial" w:hAnsi="Arial" w:cs="Arial"/>
          <w:b/>
          <w:noProof/>
          <w:sz w:val="20"/>
          <w:lang w:val="hu-HU"/>
        </w:rPr>
        <w:t>NYESZ</w:t>
      </w:r>
      <w:r w:rsidR="00262E70" w:rsidRPr="009F725F">
        <w:rPr>
          <w:rFonts w:ascii="Arial" w:hAnsi="Arial" w:cs="Arial"/>
          <w:b/>
          <w:noProof/>
          <w:sz w:val="20"/>
          <w:lang w:val="hu-HU"/>
        </w:rPr>
        <w:t xml:space="preserve"> </w:t>
      </w:r>
      <w:r w:rsidRPr="009F725F">
        <w:rPr>
          <w:rFonts w:ascii="Arial" w:hAnsi="Arial" w:cs="Arial"/>
          <w:b/>
          <w:noProof/>
          <w:sz w:val="20"/>
          <w:lang w:val="hu-HU"/>
        </w:rPr>
        <w:t>Szerződés”)</w:t>
      </w:r>
    </w:p>
    <w:p w14:paraId="479C6255" w14:textId="77777777" w:rsidR="00C07686" w:rsidRPr="009F725F" w:rsidRDefault="00C07686">
      <w:pPr>
        <w:jc w:val="both"/>
        <w:rPr>
          <w:rFonts w:ascii="Arial" w:hAnsi="Arial" w:cs="Arial"/>
          <w:noProof/>
        </w:rPr>
      </w:pPr>
    </w:p>
    <w:p w14:paraId="55752135" w14:textId="77777777" w:rsidR="00C07686" w:rsidRPr="009F725F" w:rsidRDefault="00C07686">
      <w:pPr>
        <w:jc w:val="both"/>
        <w:rPr>
          <w:rFonts w:ascii="Arial" w:hAnsi="Arial" w:cs="Arial"/>
          <w:noProof/>
        </w:rPr>
      </w:pPr>
      <w:r w:rsidRPr="009F725F">
        <w:rPr>
          <w:rFonts w:ascii="Arial" w:hAnsi="Arial" w:cs="Arial"/>
          <w:noProof/>
        </w:rPr>
        <w:t>amely létrejött egyrészről a</w:t>
      </w:r>
      <w:r w:rsidR="009F725F" w:rsidRPr="009F725F">
        <w:rPr>
          <w:rFonts w:ascii="Arial" w:hAnsi="Arial" w:cs="Arial"/>
          <w:noProof/>
        </w:rPr>
        <w:t>z</w:t>
      </w:r>
    </w:p>
    <w:p w14:paraId="0987CF4A" w14:textId="77777777" w:rsidR="00C07686" w:rsidRPr="009F725F" w:rsidRDefault="00C07686">
      <w:pPr>
        <w:jc w:val="both"/>
        <w:rPr>
          <w:rFonts w:ascii="Arial" w:hAnsi="Arial" w:cs="Arial"/>
          <w:b/>
          <w:bCs/>
          <w:noProof/>
        </w:rPr>
      </w:pPr>
    </w:p>
    <w:tbl>
      <w:tblPr>
        <w:tblW w:w="6300" w:type="dxa"/>
        <w:jc w:val="center"/>
        <w:tblLook w:val="0000" w:firstRow="0" w:lastRow="0" w:firstColumn="0" w:lastColumn="0" w:noHBand="0" w:noVBand="0"/>
      </w:tblPr>
      <w:tblGrid>
        <w:gridCol w:w="1986"/>
        <w:gridCol w:w="4314"/>
      </w:tblGrid>
      <w:tr w:rsidR="00C07686" w:rsidRPr="009F725F" w14:paraId="2C7A1539" w14:textId="77777777">
        <w:trPr>
          <w:jc w:val="center"/>
        </w:trPr>
        <w:tc>
          <w:tcPr>
            <w:tcW w:w="6300" w:type="dxa"/>
            <w:gridSpan w:val="2"/>
          </w:tcPr>
          <w:p w14:paraId="3A2805FA" w14:textId="77777777" w:rsidR="00C07686" w:rsidRPr="009F725F" w:rsidRDefault="009F725F">
            <w:pPr>
              <w:ind w:left="-108"/>
              <w:jc w:val="center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  <w:b/>
                <w:bCs/>
              </w:rPr>
              <w:t>UniCredit Bank Hungary Zrt</w:t>
            </w:r>
            <w:r w:rsidR="00C07686" w:rsidRPr="009F725F">
              <w:rPr>
                <w:rFonts w:ascii="Arial" w:hAnsi="Arial" w:cs="Arial"/>
              </w:rPr>
              <w:t>.</w:t>
            </w:r>
          </w:p>
        </w:tc>
      </w:tr>
      <w:tr w:rsidR="00C07686" w:rsidRPr="009F725F" w14:paraId="25AAEA3E" w14:textId="77777777">
        <w:trPr>
          <w:jc w:val="center"/>
        </w:trPr>
        <w:tc>
          <w:tcPr>
            <w:tcW w:w="1986" w:type="dxa"/>
          </w:tcPr>
          <w:p w14:paraId="628CF788" w14:textId="77777777" w:rsidR="00C07686" w:rsidRPr="009F725F" w:rsidRDefault="00C07686">
            <w:pPr>
              <w:ind w:left="72" w:hanging="72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</w:rPr>
              <w:t>székhely:</w:t>
            </w:r>
          </w:p>
        </w:tc>
        <w:tc>
          <w:tcPr>
            <w:tcW w:w="4314" w:type="dxa"/>
          </w:tcPr>
          <w:p w14:paraId="550115B7" w14:textId="77777777" w:rsidR="00C07686" w:rsidRPr="009F725F" w:rsidRDefault="00C07686">
            <w:pPr>
              <w:ind w:left="72" w:hanging="72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</w:rPr>
              <w:t>1054 Budapest, Szabadság tér 5-6.</w:t>
            </w:r>
          </w:p>
        </w:tc>
      </w:tr>
      <w:tr w:rsidR="00C07686" w:rsidRPr="009F725F" w14:paraId="1872081D" w14:textId="77777777">
        <w:trPr>
          <w:jc w:val="center"/>
        </w:trPr>
        <w:tc>
          <w:tcPr>
            <w:tcW w:w="1986" w:type="dxa"/>
          </w:tcPr>
          <w:p w14:paraId="28E9216B" w14:textId="77777777" w:rsidR="00C07686" w:rsidRPr="009F725F" w:rsidRDefault="00C07686">
            <w:pPr>
              <w:ind w:left="72" w:hanging="72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</w:rPr>
              <w:t>cégjegyzékszám:</w:t>
            </w:r>
          </w:p>
        </w:tc>
        <w:tc>
          <w:tcPr>
            <w:tcW w:w="4314" w:type="dxa"/>
          </w:tcPr>
          <w:p w14:paraId="12B3D7FF" w14:textId="77777777" w:rsidR="00C07686" w:rsidRPr="009F725F" w:rsidRDefault="00C07686">
            <w:pPr>
              <w:ind w:left="72" w:hanging="72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</w:rPr>
              <w:t>Cg. 01-10-041348</w:t>
            </w:r>
          </w:p>
        </w:tc>
      </w:tr>
      <w:tr w:rsidR="00C07686" w:rsidRPr="009F725F" w14:paraId="51C48545" w14:textId="77777777">
        <w:trPr>
          <w:jc w:val="center"/>
        </w:trPr>
        <w:tc>
          <w:tcPr>
            <w:tcW w:w="6300" w:type="dxa"/>
            <w:gridSpan w:val="2"/>
          </w:tcPr>
          <w:p w14:paraId="69ADF608" w14:textId="77777777" w:rsidR="00C07686" w:rsidRPr="009F725F" w:rsidRDefault="00C07686">
            <w:pPr>
              <w:ind w:left="-108"/>
              <w:jc w:val="center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</w:rPr>
              <w:t xml:space="preserve">mint bank (a továbbiakban: </w:t>
            </w:r>
            <w:r w:rsidRPr="009F725F">
              <w:rPr>
                <w:rFonts w:ascii="Arial" w:hAnsi="Arial" w:cs="Arial"/>
                <w:b/>
              </w:rPr>
              <w:t>Bank</w:t>
            </w:r>
            <w:r w:rsidRPr="009F725F">
              <w:rPr>
                <w:rFonts w:ascii="Arial" w:hAnsi="Arial" w:cs="Arial"/>
              </w:rPr>
              <w:t>)</w:t>
            </w:r>
          </w:p>
        </w:tc>
      </w:tr>
    </w:tbl>
    <w:p w14:paraId="7B398546" w14:textId="77777777" w:rsidR="00C07686" w:rsidRPr="009F725F" w:rsidRDefault="00C07686" w:rsidP="00E83A40">
      <w:pPr>
        <w:ind w:right="135"/>
        <w:rPr>
          <w:rFonts w:ascii="Arial" w:hAnsi="Arial" w:cs="Arial"/>
        </w:rPr>
      </w:pPr>
    </w:p>
    <w:p w14:paraId="68BACD22" w14:textId="4D5CBA8C" w:rsidR="00C07686" w:rsidRPr="009F725F" w:rsidRDefault="00C07686" w:rsidP="001F03B7">
      <w:pPr>
        <w:ind w:right="136"/>
        <w:rPr>
          <w:rFonts w:ascii="Arial" w:hAnsi="Arial" w:cs="Arial"/>
        </w:rPr>
      </w:pPr>
      <w:r w:rsidRPr="009F725F">
        <w:rPr>
          <w:rFonts w:ascii="Arial" w:hAnsi="Arial" w:cs="Arial"/>
        </w:rPr>
        <w:t>másrészr</w:t>
      </w:r>
      <w:r w:rsidR="00EA5D0E">
        <w:rPr>
          <w:rFonts w:ascii="Arial" w:hAnsi="Arial" w:cs="Arial"/>
        </w:rPr>
        <w:t>ő</w:t>
      </w:r>
      <w:r w:rsidRPr="009F725F">
        <w:rPr>
          <w:rFonts w:ascii="Arial" w:hAnsi="Arial" w:cs="Arial"/>
        </w:rPr>
        <w:t xml:space="preserve">l </w:t>
      </w:r>
    </w:p>
    <w:p w14:paraId="615C712F" w14:textId="77777777" w:rsidR="001F03B7" w:rsidRPr="009F725F" w:rsidRDefault="001F03B7" w:rsidP="001F03B7">
      <w:pPr>
        <w:ind w:right="13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693"/>
        <w:gridCol w:w="1134"/>
        <w:gridCol w:w="2803"/>
        <w:gridCol w:w="12"/>
      </w:tblGrid>
      <w:tr w:rsidR="00C07686" w:rsidRPr="009F725F" w14:paraId="4AE615E2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6717FA99" w14:textId="10BBBA58" w:rsidR="00C07686" w:rsidRPr="009F725F" w:rsidRDefault="00C07686">
            <w:pPr>
              <w:rPr>
                <w:rFonts w:ascii="Arial" w:hAnsi="Arial" w:cs="Arial"/>
                <w:b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Név:</w:t>
            </w:r>
          </w:p>
        </w:tc>
        <w:tc>
          <w:tcPr>
            <w:tcW w:w="6630" w:type="dxa"/>
            <w:gridSpan w:val="3"/>
          </w:tcPr>
          <w:p w14:paraId="74CBD638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2" w:name="UGYFEL_TeljesNev"/>
            <w:bookmarkEnd w:id="2"/>
            <w:r w:rsidRPr="009F725F">
              <w:rPr>
                <w:rFonts w:ascii="Arial" w:hAnsi="Arial" w:cs="Arial"/>
                <w:noProof/>
              </w:rPr>
              <w:tab/>
            </w:r>
          </w:p>
        </w:tc>
      </w:tr>
      <w:tr w:rsidR="00C07686" w:rsidRPr="009F725F" w14:paraId="503929FF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77E25C89" w14:textId="14D3E651" w:rsidR="00C07686" w:rsidRPr="009F725F" w:rsidRDefault="00EA5D0E">
            <w:pPr>
              <w:rPr>
                <w:rFonts w:ascii="Arial" w:hAnsi="Arial" w:cs="Arial"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Születési név</w:t>
            </w:r>
            <w:r>
              <w:rPr>
                <w:rFonts w:ascii="Arial" w:hAnsi="Arial" w:cs="Arial"/>
                <w:b/>
                <w:noProof/>
              </w:rPr>
              <w:t>:</w:t>
            </w:r>
          </w:p>
        </w:tc>
        <w:tc>
          <w:tcPr>
            <w:tcW w:w="6630" w:type="dxa"/>
            <w:gridSpan w:val="3"/>
          </w:tcPr>
          <w:p w14:paraId="4204E104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3" w:name="UGYFEL_LeanyNeve"/>
            <w:bookmarkEnd w:id="3"/>
            <w:r w:rsidRPr="009F725F">
              <w:rPr>
                <w:rFonts w:ascii="Arial" w:hAnsi="Arial" w:cs="Arial"/>
                <w:noProof/>
              </w:rPr>
              <w:tab/>
            </w:r>
          </w:p>
        </w:tc>
      </w:tr>
      <w:tr w:rsidR="00C07686" w:rsidRPr="009F725F" w14:paraId="51CC7408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3C0D09C8" w14:textId="4B7B98C5" w:rsidR="00C07686" w:rsidRPr="009F725F" w:rsidRDefault="00EA5D0E">
            <w:pPr>
              <w:rPr>
                <w:rFonts w:ascii="Arial" w:hAnsi="Arial" w:cs="Arial"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Születési hely, idő:</w:t>
            </w:r>
          </w:p>
        </w:tc>
        <w:tc>
          <w:tcPr>
            <w:tcW w:w="6630" w:type="dxa"/>
            <w:gridSpan w:val="3"/>
          </w:tcPr>
          <w:p w14:paraId="5B3D17F2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4" w:name="UGYFEL_SzulAdat"/>
            <w:bookmarkEnd w:id="4"/>
            <w:r w:rsidRPr="009F725F">
              <w:rPr>
                <w:rFonts w:ascii="Arial" w:hAnsi="Arial" w:cs="Arial"/>
                <w:noProof/>
              </w:rPr>
              <w:tab/>
            </w:r>
          </w:p>
        </w:tc>
      </w:tr>
      <w:tr w:rsidR="00C07686" w:rsidRPr="009F725F" w14:paraId="70CDA298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2B8C3DEF" w14:textId="2CB52EC9" w:rsidR="00C07686" w:rsidRPr="009F725F" w:rsidRDefault="00EA5D0E">
            <w:pPr>
              <w:rPr>
                <w:rFonts w:ascii="Arial" w:hAnsi="Arial" w:cs="Arial"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Anyja neve</w:t>
            </w:r>
            <w:r w:rsidR="00C07686" w:rsidRPr="009F725F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6630" w:type="dxa"/>
            <w:gridSpan w:val="3"/>
          </w:tcPr>
          <w:p w14:paraId="3E30CA4C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5" w:name="UGYFEL_AnyjaNeve"/>
            <w:bookmarkEnd w:id="5"/>
            <w:r w:rsidRPr="009F725F">
              <w:rPr>
                <w:rFonts w:ascii="Arial" w:hAnsi="Arial" w:cs="Arial"/>
                <w:noProof/>
              </w:rPr>
              <w:tab/>
            </w:r>
          </w:p>
        </w:tc>
      </w:tr>
      <w:tr w:rsidR="00C07686" w:rsidRPr="009F725F" w14:paraId="799E1614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03590494" w14:textId="2DFA2CAC" w:rsidR="00C07686" w:rsidRPr="009F725F" w:rsidRDefault="00EA5D0E">
            <w:pPr>
              <w:rPr>
                <w:rFonts w:ascii="Arial" w:hAnsi="Arial" w:cs="Arial"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Állandó lakcíme</w:t>
            </w:r>
            <w:r>
              <w:rPr>
                <w:rFonts w:ascii="Arial" w:hAnsi="Arial" w:cs="Arial"/>
                <w:b/>
                <w:noProof/>
              </w:rPr>
              <w:t>:</w:t>
            </w:r>
          </w:p>
        </w:tc>
        <w:tc>
          <w:tcPr>
            <w:tcW w:w="6630" w:type="dxa"/>
            <w:gridSpan w:val="3"/>
          </w:tcPr>
          <w:p w14:paraId="0911595E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6" w:name="UGYFEL_TeljesCim"/>
            <w:bookmarkEnd w:id="6"/>
          </w:p>
        </w:tc>
      </w:tr>
      <w:tr w:rsidR="00C07686" w:rsidRPr="009F725F" w14:paraId="04151D9D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40C2008A" w14:textId="5FA0917C" w:rsidR="00C07686" w:rsidRPr="009F725F" w:rsidRDefault="00EA5D0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Okmány</w:t>
            </w:r>
            <w:r w:rsidRPr="009F725F">
              <w:rPr>
                <w:rFonts w:ascii="Arial" w:hAnsi="Arial" w:cs="Arial"/>
                <w:b/>
                <w:noProof/>
              </w:rPr>
              <w:t xml:space="preserve"> száma</w:t>
            </w:r>
            <w:r>
              <w:rPr>
                <w:rFonts w:ascii="Arial" w:hAnsi="Arial" w:cs="Arial"/>
                <w:b/>
                <w:noProof/>
              </w:rPr>
              <w:t>:</w:t>
            </w:r>
          </w:p>
        </w:tc>
        <w:tc>
          <w:tcPr>
            <w:tcW w:w="6630" w:type="dxa"/>
            <w:gridSpan w:val="3"/>
          </w:tcPr>
          <w:p w14:paraId="6D9B90F6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7" w:name="UGYFEL_IgazolvanySzam"/>
            <w:bookmarkEnd w:id="7"/>
          </w:p>
        </w:tc>
      </w:tr>
      <w:tr w:rsidR="00C07686" w:rsidRPr="009F725F" w14:paraId="0DD660D7" w14:textId="77777777" w:rsidTr="00EA5D0E">
        <w:trPr>
          <w:gridAfter w:val="1"/>
          <w:wAfter w:w="12" w:type="dxa"/>
        </w:trPr>
        <w:tc>
          <w:tcPr>
            <w:tcW w:w="2538" w:type="dxa"/>
          </w:tcPr>
          <w:p w14:paraId="391DC768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Telefonszám</w:t>
            </w:r>
            <w:r w:rsidRPr="009F725F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2693" w:type="dxa"/>
          </w:tcPr>
          <w:p w14:paraId="4677C389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bookmarkStart w:id="8" w:name="UGYFEL_TeljesTelefon"/>
            <w:bookmarkEnd w:id="8"/>
          </w:p>
        </w:tc>
        <w:tc>
          <w:tcPr>
            <w:tcW w:w="1134" w:type="dxa"/>
          </w:tcPr>
          <w:p w14:paraId="7B95480A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Faxszám</w:t>
            </w:r>
            <w:r w:rsidRPr="009F725F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2803" w:type="dxa"/>
          </w:tcPr>
          <w:p w14:paraId="28F9AFB4" w14:textId="77777777" w:rsidR="00C07686" w:rsidRPr="009F725F" w:rsidRDefault="00C07686">
            <w:pPr>
              <w:rPr>
                <w:rFonts w:ascii="Arial" w:hAnsi="Arial" w:cs="Arial"/>
                <w:noProof/>
              </w:rPr>
            </w:pPr>
          </w:p>
        </w:tc>
      </w:tr>
      <w:tr w:rsidR="00C07686" w:rsidRPr="009F725F" w14:paraId="3465C43B" w14:textId="77777777" w:rsidTr="00EA5D0E">
        <w:trPr>
          <w:cantSplit/>
        </w:trPr>
        <w:tc>
          <w:tcPr>
            <w:tcW w:w="2538" w:type="dxa"/>
          </w:tcPr>
          <w:p w14:paraId="744DC06A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b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Mobiltelefonszám:</w:t>
            </w:r>
          </w:p>
        </w:tc>
        <w:tc>
          <w:tcPr>
            <w:tcW w:w="6642" w:type="dxa"/>
            <w:gridSpan w:val="4"/>
          </w:tcPr>
          <w:p w14:paraId="65DB9811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noProof/>
              </w:rPr>
            </w:pPr>
            <w:bookmarkStart w:id="9" w:name="UGYFEL_TeljesMobil"/>
            <w:bookmarkEnd w:id="9"/>
          </w:p>
        </w:tc>
      </w:tr>
      <w:tr w:rsidR="00C07686" w:rsidRPr="009F725F" w14:paraId="3EF03917" w14:textId="77777777" w:rsidTr="00EA5D0E">
        <w:trPr>
          <w:cantSplit/>
        </w:trPr>
        <w:tc>
          <w:tcPr>
            <w:tcW w:w="2538" w:type="dxa"/>
          </w:tcPr>
          <w:p w14:paraId="3F25CF2B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b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E-mail cím:</w:t>
            </w:r>
          </w:p>
        </w:tc>
        <w:tc>
          <w:tcPr>
            <w:tcW w:w="6642" w:type="dxa"/>
            <w:gridSpan w:val="4"/>
          </w:tcPr>
          <w:p w14:paraId="28898641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noProof/>
              </w:rPr>
            </w:pPr>
            <w:bookmarkStart w:id="10" w:name="UGYFEL_EMAIL"/>
            <w:bookmarkEnd w:id="10"/>
          </w:p>
        </w:tc>
      </w:tr>
      <w:tr w:rsidR="00C07686" w:rsidRPr="009F725F" w14:paraId="558D8569" w14:textId="77777777" w:rsidTr="00EA5D0E">
        <w:trPr>
          <w:cantSplit/>
        </w:trPr>
        <w:tc>
          <w:tcPr>
            <w:tcW w:w="2538" w:type="dxa"/>
          </w:tcPr>
          <w:p w14:paraId="20CAFA27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b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Devizajogi státusz:</w:t>
            </w:r>
          </w:p>
        </w:tc>
        <w:tc>
          <w:tcPr>
            <w:tcW w:w="6642" w:type="dxa"/>
            <w:gridSpan w:val="4"/>
          </w:tcPr>
          <w:p w14:paraId="25EB78FF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noProof/>
              </w:rPr>
            </w:pPr>
            <w:bookmarkStart w:id="11" w:name="SZAMLA_RezidensSzoveg"/>
            <w:bookmarkEnd w:id="11"/>
          </w:p>
        </w:tc>
      </w:tr>
      <w:tr w:rsidR="00C07686" w:rsidRPr="009F725F" w14:paraId="3A9C3717" w14:textId="77777777" w:rsidTr="00EA5D0E">
        <w:trPr>
          <w:cantSplit/>
        </w:trPr>
        <w:tc>
          <w:tcPr>
            <w:tcW w:w="2538" w:type="dxa"/>
          </w:tcPr>
          <w:p w14:paraId="3143DE85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b/>
                <w:noProof/>
              </w:rPr>
            </w:pPr>
            <w:r w:rsidRPr="009F725F">
              <w:rPr>
                <w:rFonts w:ascii="Arial" w:hAnsi="Arial" w:cs="Arial"/>
                <w:b/>
                <w:noProof/>
              </w:rPr>
              <w:t>Adóazonosító szám:</w:t>
            </w:r>
          </w:p>
        </w:tc>
        <w:tc>
          <w:tcPr>
            <w:tcW w:w="6642" w:type="dxa"/>
            <w:gridSpan w:val="4"/>
          </w:tcPr>
          <w:p w14:paraId="13BC51D6" w14:textId="77777777" w:rsidR="00C07686" w:rsidRPr="009F725F" w:rsidRDefault="00C07686">
            <w:pPr>
              <w:tabs>
                <w:tab w:val="left" w:pos="2410"/>
                <w:tab w:val="left" w:leader="dot" w:pos="7797"/>
              </w:tabs>
              <w:rPr>
                <w:rFonts w:ascii="Arial" w:hAnsi="Arial" w:cs="Arial"/>
                <w:noProof/>
              </w:rPr>
            </w:pPr>
            <w:bookmarkStart w:id="12" w:name="UGYFEL_AdoAzonositoJel"/>
            <w:bookmarkEnd w:id="12"/>
          </w:p>
        </w:tc>
      </w:tr>
    </w:tbl>
    <w:p w14:paraId="15FA379D" w14:textId="77777777" w:rsidR="00C07686" w:rsidRPr="009F725F" w:rsidRDefault="00C07686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00"/>
      </w:tblGrid>
      <w:tr w:rsidR="00C07686" w:rsidRPr="009F725F" w14:paraId="5CFE53DF" w14:textId="77777777">
        <w:trPr>
          <w:jc w:val="center"/>
        </w:trPr>
        <w:tc>
          <w:tcPr>
            <w:tcW w:w="6300" w:type="dxa"/>
          </w:tcPr>
          <w:p w14:paraId="3B3435BC" w14:textId="77777777" w:rsidR="00C07686" w:rsidRPr="009F725F" w:rsidRDefault="00C07686">
            <w:pPr>
              <w:jc w:val="center"/>
              <w:rPr>
                <w:rFonts w:ascii="Arial" w:hAnsi="Arial" w:cs="Arial"/>
              </w:rPr>
            </w:pPr>
            <w:r w:rsidRPr="009F725F">
              <w:rPr>
                <w:rFonts w:ascii="Arial" w:hAnsi="Arial" w:cs="Arial"/>
              </w:rPr>
              <w:t xml:space="preserve">mint számlatulajdonos (a továbbiakban: </w:t>
            </w:r>
            <w:r w:rsidRPr="009F725F">
              <w:rPr>
                <w:rFonts w:ascii="Arial" w:hAnsi="Arial" w:cs="Arial"/>
                <w:b/>
              </w:rPr>
              <w:t>Ügyfél</w:t>
            </w:r>
            <w:r w:rsidRPr="009F725F">
              <w:rPr>
                <w:rFonts w:ascii="Arial" w:hAnsi="Arial" w:cs="Arial"/>
              </w:rPr>
              <w:t>)</w:t>
            </w:r>
          </w:p>
        </w:tc>
      </w:tr>
    </w:tbl>
    <w:p w14:paraId="23E48567" w14:textId="77777777" w:rsidR="00C07686" w:rsidRPr="009F725F" w:rsidRDefault="00C07686">
      <w:pPr>
        <w:ind w:left="1224"/>
        <w:rPr>
          <w:rFonts w:ascii="Arial" w:hAnsi="Arial" w:cs="Arial"/>
        </w:rPr>
      </w:pPr>
    </w:p>
    <w:p w14:paraId="10DE8FC5" w14:textId="77777777" w:rsidR="00C07686" w:rsidRPr="009F725F" w:rsidRDefault="00C07686">
      <w:pPr>
        <w:tabs>
          <w:tab w:val="left" w:pos="709"/>
          <w:tab w:val="left" w:pos="1152"/>
          <w:tab w:val="left" w:pos="1440"/>
          <w:tab w:val="left" w:pos="1872"/>
          <w:tab w:val="left" w:pos="3024"/>
          <w:tab w:val="left" w:pos="7056"/>
          <w:tab w:val="left" w:pos="7488"/>
        </w:tabs>
        <w:ind w:right="136"/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>(a Bank és az Ügyfél a továbbiakban együttesen: Felek)</w:t>
      </w:r>
    </w:p>
    <w:p w14:paraId="453E39C1" w14:textId="77777777" w:rsidR="00C07686" w:rsidRPr="009F725F" w:rsidRDefault="00C07686">
      <w:pPr>
        <w:tabs>
          <w:tab w:val="left" w:pos="709"/>
          <w:tab w:val="left" w:pos="1152"/>
          <w:tab w:val="left" w:pos="1440"/>
          <w:tab w:val="left" w:pos="1872"/>
          <w:tab w:val="left" w:pos="3024"/>
          <w:tab w:val="left" w:pos="7056"/>
          <w:tab w:val="left" w:pos="7488"/>
        </w:tabs>
        <w:ind w:right="136"/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>között alulírt helyen és napon az alábbi feltételek szerint:</w:t>
      </w:r>
    </w:p>
    <w:p w14:paraId="7F3A7BFF" w14:textId="77777777" w:rsidR="00C07686" w:rsidRPr="009F725F" w:rsidRDefault="00C07686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sz w:val="20"/>
        </w:rPr>
      </w:pPr>
    </w:p>
    <w:p w14:paraId="01B3F282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Nyugdíj-előtakarékossági pénzszámla</w:t>
      </w:r>
    </w:p>
    <w:p w14:paraId="6F6B04EB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Jelen </w:t>
      </w:r>
      <w:r w:rsidR="00537AC9">
        <w:rPr>
          <w:rFonts w:ascii="Arial" w:hAnsi="Arial" w:cs="Arial"/>
          <w:sz w:val="20"/>
        </w:rPr>
        <w:t xml:space="preserve">Szerződés aláírásával a Bank kötelezettséget vállal arra, hogy a nyugdíj-előtakarékossági számlákról szóló 2005. évi CLVI törvény (Nyesz tv.) alapján az Ügyfél, mint előtakarékoskodó részére – az Ügyfél kifejezett rendelkezése szerint – fizetési számla típusú, forintban vezetett nyugdíj-előtakarékossági pénzszámlákat nyit és vezet (a továbbiakban külön-külön: </w:t>
      </w:r>
      <w:r w:rsidR="00537AC9">
        <w:rPr>
          <w:rFonts w:ascii="Arial" w:hAnsi="Arial" w:cs="Arial"/>
          <w:b/>
          <w:bCs/>
          <w:sz w:val="20"/>
        </w:rPr>
        <w:t xml:space="preserve">Nyugdíj pénzszámla, </w:t>
      </w:r>
      <w:r w:rsidR="00537AC9">
        <w:rPr>
          <w:rFonts w:ascii="Arial" w:hAnsi="Arial" w:cs="Arial"/>
          <w:sz w:val="20"/>
        </w:rPr>
        <w:t>együttesen:</w:t>
      </w:r>
      <w:r w:rsidR="00537AC9">
        <w:rPr>
          <w:rFonts w:ascii="Arial" w:hAnsi="Arial" w:cs="Arial"/>
          <w:b/>
          <w:bCs/>
          <w:sz w:val="20"/>
        </w:rPr>
        <w:t xml:space="preserve"> Nyugdíj pénzszámlák</w:t>
      </w:r>
      <w:r w:rsidRPr="009F725F">
        <w:rPr>
          <w:rFonts w:ascii="Arial" w:hAnsi="Arial" w:cs="Arial"/>
          <w:sz w:val="20"/>
        </w:rPr>
        <w:t xml:space="preserve">). </w:t>
      </w:r>
    </w:p>
    <w:p w14:paraId="77A8A534" w14:textId="77777777" w:rsidR="00C07686" w:rsidRPr="009F725F" w:rsidRDefault="00C07686">
      <w:pPr>
        <w:tabs>
          <w:tab w:val="left" w:pos="357"/>
        </w:tabs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ab/>
        <w:t>A Nyugdíj pénzszámlát vezető fiók címe:</w:t>
      </w:r>
      <w:r w:rsidRPr="009F725F">
        <w:rPr>
          <w:rFonts w:ascii="Arial" w:hAnsi="Arial" w:cs="Arial"/>
        </w:rPr>
        <w:tab/>
        <w:t xml:space="preserve"> </w:t>
      </w:r>
      <w:bookmarkStart w:id="13" w:name="SZAMLA_FiokCim"/>
      <w:r w:rsidRPr="009F725F">
        <w:rPr>
          <w:rFonts w:ascii="Arial" w:hAnsi="Arial" w:cs="Arial"/>
        </w:rPr>
        <w:t>……………………………..</w:t>
      </w:r>
      <w:bookmarkEnd w:id="13"/>
    </w:p>
    <w:p w14:paraId="1BD6BA26" w14:textId="77777777" w:rsidR="00C07686" w:rsidRPr="009F725F" w:rsidRDefault="00C07686">
      <w:pPr>
        <w:tabs>
          <w:tab w:val="left" w:pos="357"/>
        </w:tabs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ab/>
        <w:t>A Nyugdíj pénzszámlák száma:</w:t>
      </w:r>
      <w:r w:rsidRPr="009F725F">
        <w:rPr>
          <w:rFonts w:ascii="Arial" w:hAnsi="Arial" w:cs="Arial"/>
        </w:rPr>
        <w:tab/>
        <w:t>(1)</w:t>
      </w:r>
      <w:r w:rsidRPr="009F725F">
        <w:rPr>
          <w:rStyle w:val="FootnoteReference"/>
          <w:rFonts w:ascii="Arial" w:hAnsi="Arial" w:cs="Arial"/>
        </w:rPr>
        <w:footnoteReference w:id="1"/>
      </w:r>
      <w:bookmarkStart w:id="14" w:name="SZAMLA_PillerMNBSzamlaSzam"/>
      <w:r w:rsidRPr="009F725F">
        <w:rPr>
          <w:rFonts w:ascii="Arial" w:hAnsi="Arial" w:cs="Arial"/>
        </w:rPr>
        <w:t>…………………………………</w:t>
      </w:r>
      <w:bookmarkEnd w:id="14"/>
    </w:p>
    <w:p w14:paraId="17AFF9D5" w14:textId="77777777" w:rsidR="00C07686" w:rsidRPr="009F725F" w:rsidRDefault="00C07686">
      <w:pPr>
        <w:tabs>
          <w:tab w:val="left" w:pos="357"/>
        </w:tabs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</w:r>
      <w:r w:rsidRPr="009F725F">
        <w:rPr>
          <w:rFonts w:ascii="Arial" w:hAnsi="Arial" w:cs="Arial"/>
        </w:rPr>
        <w:tab/>
        <w:t>(2)</w:t>
      </w:r>
      <w:r w:rsidRPr="009F725F">
        <w:rPr>
          <w:rStyle w:val="FootnoteReference"/>
          <w:rFonts w:ascii="Arial" w:hAnsi="Arial" w:cs="Arial"/>
        </w:rPr>
        <w:footnoteReference w:id="2"/>
      </w:r>
      <w:bookmarkStart w:id="15" w:name="SZAMLA_MNBSzamlaSzam"/>
      <w:r w:rsidRPr="009F725F">
        <w:rPr>
          <w:rFonts w:ascii="Arial" w:hAnsi="Arial" w:cs="Arial"/>
        </w:rPr>
        <w:t>…………………………………</w:t>
      </w:r>
      <w:bookmarkEnd w:id="15"/>
    </w:p>
    <w:p w14:paraId="5510126E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649FECB0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Ügyfél tudomásul veszi, hogy jelen Szerződés aláírásával egyidejűleg köteles a (1) megjelölésű Nyugdíj pénzszámlára legalább 5.000,- Ft, azaz ötezer forint befizetést teljesíteni. </w:t>
      </w:r>
    </w:p>
    <w:p w14:paraId="6647F6E6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71D7C306" w14:textId="77777777" w:rsidR="00C07686" w:rsidRPr="004C268A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4C268A">
        <w:rPr>
          <w:rFonts w:ascii="Arial" w:hAnsi="Arial" w:cs="Arial"/>
          <w:sz w:val="20"/>
        </w:rPr>
        <w:t>Az Ügyfél tudomásul veszi, hogy a Bank kizárólag az alábbi esetekben teljesít a Nyugdíj pénzszámlákon jóváírást:</w:t>
      </w:r>
    </w:p>
    <w:p w14:paraId="7D61A57A" w14:textId="77777777" w:rsidR="00C07686" w:rsidRPr="004C268A" w:rsidRDefault="00C07686">
      <w:pPr>
        <w:numPr>
          <w:ilvl w:val="0"/>
          <w:numId w:val="13"/>
        </w:numPr>
        <w:jc w:val="both"/>
        <w:rPr>
          <w:rFonts w:ascii="Arial" w:hAnsi="Arial" w:cs="Arial"/>
          <w:i/>
          <w:iCs/>
        </w:rPr>
      </w:pPr>
      <w:r w:rsidRPr="004C268A">
        <w:rPr>
          <w:rFonts w:ascii="Arial" w:hAnsi="Arial" w:cs="Arial"/>
        </w:rPr>
        <w:t>az Ügyfél általi készpénzbefizetés vagy az Ügyfél nevén vezetett számláról érkező átutalás;</w:t>
      </w:r>
      <w:r w:rsidRPr="004C268A">
        <w:rPr>
          <w:rFonts w:ascii="Arial" w:hAnsi="Arial" w:cs="Arial"/>
        </w:rPr>
        <w:tab/>
      </w:r>
    </w:p>
    <w:p w14:paraId="26163388" w14:textId="77777777" w:rsidR="00C07686" w:rsidRPr="009F725F" w:rsidRDefault="00C07686">
      <w:pPr>
        <w:numPr>
          <w:ilvl w:val="0"/>
          <w:numId w:val="13"/>
        </w:numPr>
        <w:jc w:val="both"/>
        <w:rPr>
          <w:rFonts w:ascii="Arial" w:hAnsi="Arial" w:cs="Arial"/>
          <w:i/>
          <w:iCs/>
        </w:rPr>
      </w:pPr>
      <w:r w:rsidRPr="009F725F">
        <w:rPr>
          <w:rFonts w:ascii="Arial" w:hAnsi="Arial" w:cs="Arial"/>
        </w:rPr>
        <w:t>a Nyugdíj összevont értékpapírszámlán nyilvántartott értékpapírok hozama;</w:t>
      </w:r>
    </w:p>
    <w:p w14:paraId="3CC3A5C6" w14:textId="77777777" w:rsidR="00C07686" w:rsidRPr="009F725F" w:rsidRDefault="00C07686">
      <w:pPr>
        <w:numPr>
          <w:ilvl w:val="0"/>
          <w:numId w:val="13"/>
        </w:numPr>
        <w:jc w:val="both"/>
        <w:rPr>
          <w:rFonts w:ascii="Arial" w:hAnsi="Arial" w:cs="Arial"/>
          <w:i/>
          <w:iCs/>
        </w:rPr>
      </w:pPr>
      <w:r w:rsidRPr="009F725F">
        <w:rPr>
          <w:rFonts w:ascii="Arial" w:hAnsi="Arial" w:cs="Arial"/>
        </w:rPr>
        <w:t>a Nyugdíj összevont értékpapírszámlán nyilvántartott értékpapírok értékesítéséből származó ellenérték;</w:t>
      </w:r>
    </w:p>
    <w:p w14:paraId="38BB6DB4" w14:textId="77777777" w:rsidR="00C07686" w:rsidRPr="009F725F" w:rsidRDefault="00C07686">
      <w:pPr>
        <w:numPr>
          <w:ilvl w:val="0"/>
          <w:numId w:val="13"/>
        </w:numPr>
        <w:jc w:val="both"/>
        <w:rPr>
          <w:rFonts w:ascii="Arial" w:hAnsi="Arial" w:cs="Arial"/>
          <w:i/>
          <w:iCs/>
        </w:rPr>
      </w:pPr>
      <w:r w:rsidRPr="009F725F">
        <w:rPr>
          <w:rFonts w:ascii="Arial" w:hAnsi="Arial" w:cs="Arial"/>
        </w:rPr>
        <w:t>az Ügyfél másik számlavezetőnél vezetett nyugdíj pénzszámlájáról – a számlavezető által kiadott, az adott nyugdíj pénzszámla egyenlegére vonatkozó igazolás alapján - érkező átutalás;</w:t>
      </w:r>
    </w:p>
    <w:p w14:paraId="096C64E4" w14:textId="42F7FDE0" w:rsidR="00C07686" w:rsidRPr="009F725F" w:rsidRDefault="00C0768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lastRenderedPageBreak/>
        <w:t xml:space="preserve">az </w:t>
      </w:r>
      <w:r w:rsidR="00EA5D0E">
        <w:rPr>
          <w:rFonts w:ascii="Arial" w:hAnsi="Arial" w:cs="Arial"/>
        </w:rPr>
        <w:t>állami adóhatóság</w:t>
      </w:r>
      <w:r w:rsidRPr="009F725F">
        <w:rPr>
          <w:rFonts w:ascii="Arial" w:hAnsi="Arial" w:cs="Arial"/>
        </w:rPr>
        <w:t xml:space="preserve"> által az Ügyfél javára átutalt Nyesz. tv. </w:t>
      </w:r>
      <w:r w:rsidR="00421E56">
        <w:rPr>
          <w:rFonts w:ascii="Arial" w:hAnsi="Arial" w:cs="Arial"/>
        </w:rPr>
        <w:t xml:space="preserve">2. § 2. pont </w:t>
      </w:r>
      <w:r w:rsidRPr="009F725F">
        <w:rPr>
          <w:rFonts w:ascii="Arial" w:hAnsi="Arial" w:cs="Arial"/>
        </w:rPr>
        <w:t>szerinti előtakarékossági támogatás</w:t>
      </w:r>
      <w:r w:rsidR="00421E56">
        <w:rPr>
          <w:rFonts w:ascii="Arial" w:hAnsi="Arial" w:cs="Arial"/>
        </w:rPr>
        <w:t xml:space="preserve"> (továbbiakban</w:t>
      </w:r>
      <w:r w:rsidR="00CF1E47">
        <w:rPr>
          <w:rFonts w:ascii="Arial" w:hAnsi="Arial" w:cs="Arial"/>
        </w:rPr>
        <w:t>:</w:t>
      </w:r>
      <w:r w:rsidR="00421E56">
        <w:rPr>
          <w:rFonts w:ascii="Arial" w:hAnsi="Arial" w:cs="Arial"/>
        </w:rPr>
        <w:t xml:space="preserve"> </w:t>
      </w:r>
      <w:r w:rsidR="00421E56" w:rsidRPr="00CF1E47">
        <w:rPr>
          <w:rFonts w:ascii="Arial" w:hAnsi="Arial" w:cs="Arial"/>
          <w:b/>
        </w:rPr>
        <w:t>Előtakarékossági támogatás</w:t>
      </w:r>
      <w:r w:rsidR="00421E56">
        <w:rPr>
          <w:rFonts w:ascii="Arial" w:hAnsi="Arial" w:cs="Arial"/>
        </w:rPr>
        <w:t>)</w:t>
      </w:r>
      <w:r w:rsidRPr="009F725F">
        <w:rPr>
          <w:rFonts w:ascii="Arial" w:hAnsi="Arial" w:cs="Arial"/>
        </w:rPr>
        <w:t>.</w:t>
      </w:r>
    </w:p>
    <w:p w14:paraId="1E6731C8" w14:textId="0F1946A4" w:rsidR="00C07686" w:rsidRDefault="0006666C" w:rsidP="004C268A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sz w:val="20"/>
        </w:rPr>
      </w:pPr>
      <w:r w:rsidRPr="001E5E77">
        <w:rPr>
          <w:rFonts w:ascii="Arial" w:hAnsi="Arial" w:cs="Arial"/>
          <w:sz w:val="20"/>
          <w:lang w:eastAsia="hu-HU"/>
        </w:rPr>
        <w:t>Ettől eltérő rendelkezések következményeiért a</w:t>
      </w:r>
      <w:r w:rsidR="007C2D31">
        <w:rPr>
          <w:rFonts w:ascii="Arial" w:hAnsi="Arial" w:cs="Arial"/>
          <w:sz w:val="20"/>
          <w:lang w:eastAsia="hu-HU"/>
        </w:rPr>
        <w:t xml:space="preserve"> </w:t>
      </w:r>
      <w:r w:rsidR="007C2D31" w:rsidRPr="007C2D31">
        <w:rPr>
          <w:rFonts w:ascii="Arial" w:hAnsi="Arial" w:cs="Arial"/>
          <w:sz w:val="20"/>
          <w:lang w:eastAsia="hu-HU"/>
        </w:rPr>
        <w:t>Bank</w:t>
      </w:r>
      <w:r w:rsidRPr="001E5E77">
        <w:rPr>
          <w:rFonts w:ascii="Arial" w:hAnsi="Arial" w:cs="Arial"/>
          <w:sz w:val="20"/>
          <w:lang w:eastAsia="hu-HU"/>
        </w:rPr>
        <w:t xml:space="preserve"> nem tehető felelőssé</w:t>
      </w:r>
      <w:r w:rsidR="004C268A" w:rsidRPr="001E5E77">
        <w:rPr>
          <w:rFonts w:ascii="Arial" w:hAnsi="Arial" w:cs="Arial"/>
          <w:sz w:val="20"/>
          <w:lang w:eastAsia="hu-HU"/>
        </w:rPr>
        <w:t>.</w:t>
      </w:r>
      <w:r w:rsidRPr="001E5E77">
        <w:rPr>
          <w:rFonts w:ascii="Arial" w:hAnsi="Arial" w:cs="Arial"/>
          <w:sz w:val="20"/>
        </w:rPr>
        <w:t xml:space="preserve"> </w:t>
      </w:r>
    </w:p>
    <w:p w14:paraId="77ED8CE9" w14:textId="77777777" w:rsidR="001E5E77" w:rsidRPr="001E5E77" w:rsidRDefault="001E5E77" w:rsidP="004C268A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sz w:val="20"/>
        </w:rPr>
      </w:pPr>
    </w:p>
    <w:p w14:paraId="6F43BCE1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  <w:r w:rsidRPr="009F725F">
        <w:rPr>
          <w:rFonts w:ascii="Arial" w:hAnsi="Arial" w:cs="Arial"/>
          <w:noProof/>
          <w:sz w:val="20"/>
        </w:rPr>
        <w:t>Az Ügyfél tudomásul veszi, hogy a Bank a Nyugdíj</w:t>
      </w:r>
      <w:r w:rsidR="001A372A" w:rsidRPr="009F725F">
        <w:rPr>
          <w:rFonts w:ascii="Arial" w:hAnsi="Arial" w:cs="Arial"/>
          <w:noProof/>
          <w:sz w:val="20"/>
        </w:rPr>
        <w:t xml:space="preserve"> </w:t>
      </w:r>
      <w:r w:rsidRPr="009F725F">
        <w:rPr>
          <w:rFonts w:ascii="Arial" w:hAnsi="Arial" w:cs="Arial"/>
          <w:noProof/>
          <w:sz w:val="20"/>
        </w:rPr>
        <w:t>pénzszámlák közti átutalásra vonatkozó megbízásokat nem teljesíti.</w:t>
      </w:r>
    </w:p>
    <w:p w14:paraId="14B1F5DB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</w:p>
    <w:p w14:paraId="0A319E9D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  <w:r w:rsidRPr="009F725F">
        <w:rPr>
          <w:rFonts w:ascii="Arial" w:hAnsi="Arial" w:cs="Arial"/>
          <w:noProof/>
          <w:sz w:val="20"/>
        </w:rPr>
        <w:t>Az Ügyfél tudomásul veszi, hogy a Bank a</w:t>
      </w:r>
      <w:r w:rsidR="002557C2">
        <w:rPr>
          <w:rFonts w:ascii="Arial" w:hAnsi="Arial" w:cs="Arial"/>
          <w:noProof/>
          <w:sz w:val="20"/>
        </w:rPr>
        <w:t xml:space="preserve"> személyi jövedelemadóról szóló 1995. évi CXVII. törvény  (</w:t>
      </w:r>
      <w:r w:rsidRPr="009F725F">
        <w:rPr>
          <w:rFonts w:ascii="Arial" w:hAnsi="Arial" w:cs="Arial"/>
          <w:noProof/>
          <w:sz w:val="20"/>
        </w:rPr>
        <w:t>Szja tv.</w:t>
      </w:r>
      <w:r w:rsidR="002557C2">
        <w:rPr>
          <w:rFonts w:ascii="Arial" w:hAnsi="Arial" w:cs="Arial"/>
          <w:noProof/>
          <w:sz w:val="20"/>
        </w:rPr>
        <w:t>)</w:t>
      </w:r>
      <w:r w:rsidRPr="009F725F">
        <w:rPr>
          <w:rFonts w:ascii="Arial" w:hAnsi="Arial" w:cs="Arial"/>
          <w:noProof/>
          <w:sz w:val="20"/>
        </w:rPr>
        <w:t xml:space="preserve"> szerinti nyugdíj-előtakarékossági nyilatkozat alapjául szolgáló igazolásban a rendelkezési jogosultság alapjául szolgáló összegként a (1) megjelölésű számlán nyilvántartott összeget jelöli meg.</w:t>
      </w:r>
    </w:p>
    <w:p w14:paraId="2C9EAE86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</w:p>
    <w:p w14:paraId="5E9A1B14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  <w:r w:rsidRPr="009F725F">
        <w:rPr>
          <w:rFonts w:ascii="Arial" w:hAnsi="Arial" w:cs="Arial"/>
          <w:noProof/>
          <w:sz w:val="20"/>
        </w:rPr>
        <w:t>Ügyfél tudomásul veszi továbbá, hogy amennyiben az általa az egyik Nyugdíj pénzszámla terhére adott megbízás összege meghaladja az adott Nyugdíj pénzszámlán rendelkezésre álló összeget, a megbízást oly módon köteles adni, hogy az egyes Nyugdíj pénzszámlákra külön-külön ad - legfeljebb az adott számla egyenlege erejéig, de - összesen a megbízás ellenértékének megfelelő két megbízást. Egyéb esetben a Bank jogosult a Nyugdíj pénzszámlán nyilvántartott összeget meghaladó összegű, az adott Nyugdíj pénzszámla terhére adott megbízás teljesítését megtagadni. A jelen pont szerint létrejövő, szükségképpen két vételi megbízás a szabályozott piacok mindenkor hatályos kereskedési szabályzatai szerint bizonyos esetekben eltérő árfolyamokon teljesülhet, illetve az egyik megbízás teljesülése – a meghatározott limitárra tekintettel – elmaradhat; ennek kockázatát az Ügyfél viseli.</w:t>
      </w:r>
    </w:p>
    <w:p w14:paraId="590DA448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</w:p>
    <w:p w14:paraId="7B644C13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  <w:r w:rsidRPr="009F725F">
        <w:rPr>
          <w:rFonts w:ascii="Arial" w:hAnsi="Arial" w:cs="Arial"/>
          <w:sz w:val="20"/>
        </w:rPr>
        <w:t xml:space="preserve">Felek megállapodnak abban, </w:t>
      </w:r>
      <w:r w:rsidRPr="009F725F">
        <w:rPr>
          <w:rFonts w:ascii="Arial" w:hAnsi="Arial" w:cs="Arial"/>
          <w:noProof/>
          <w:sz w:val="20"/>
        </w:rPr>
        <w:t>hogy a Nyugdíj pénzszámlákon elhelyezett összeg után a Bank a hatályos Hirdetményben meghatározott mértékű kamatot fizet.</w:t>
      </w:r>
    </w:p>
    <w:p w14:paraId="51C760A6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</w:p>
    <w:p w14:paraId="68D3A1EF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  <w:r w:rsidRPr="009F725F">
        <w:rPr>
          <w:rFonts w:ascii="Arial" w:hAnsi="Arial" w:cs="Arial"/>
          <w:noProof/>
          <w:sz w:val="20"/>
        </w:rPr>
        <w:t>A Nyugdíj pénzszámlákon az Általános Üzleti Feltételek és a Lakossági Üzletszabályzat szerint lekötések teljesíthetők.</w:t>
      </w:r>
    </w:p>
    <w:p w14:paraId="19F841AA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</w:p>
    <w:p w14:paraId="63FBE98D" w14:textId="57B7AC70" w:rsidR="001A372A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noProof/>
          <w:sz w:val="20"/>
        </w:rPr>
      </w:pPr>
      <w:r w:rsidRPr="009F725F">
        <w:rPr>
          <w:rFonts w:ascii="Arial" w:hAnsi="Arial" w:cs="Arial"/>
          <w:noProof/>
          <w:sz w:val="20"/>
        </w:rPr>
        <w:t xml:space="preserve">Ügyfél </w:t>
      </w:r>
      <w:r w:rsidR="00537AC9">
        <w:rPr>
          <w:rFonts w:ascii="Arial" w:hAnsi="Arial" w:cs="Arial"/>
          <w:sz w:val="20"/>
        </w:rPr>
        <w:t>tudomásul veszi, hogy a Nyugdíj pén</w:t>
      </w:r>
      <w:r w:rsidR="00C230C4">
        <w:rPr>
          <w:rFonts w:ascii="Arial" w:hAnsi="Arial" w:cs="Arial"/>
          <w:sz w:val="20"/>
        </w:rPr>
        <w:t>zs</w:t>
      </w:r>
      <w:r w:rsidR="00537AC9">
        <w:rPr>
          <w:rFonts w:ascii="Arial" w:hAnsi="Arial" w:cs="Arial"/>
          <w:sz w:val="20"/>
        </w:rPr>
        <w:t>zámlákon nyilvántartott pénzkövetelése – az Ügyfél Banknál elhelyezett egyéb betéteivel</w:t>
      </w:r>
      <w:r w:rsidR="00C230C4">
        <w:rPr>
          <w:rFonts w:ascii="Arial" w:hAnsi="Arial" w:cs="Arial"/>
          <w:sz w:val="20"/>
        </w:rPr>
        <w:t xml:space="preserve"> </w:t>
      </w:r>
      <w:r w:rsidR="00537AC9">
        <w:rPr>
          <w:rFonts w:ascii="Arial" w:hAnsi="Arial" w:cs="Arial"/>
          <w:sz w:val="20"/>
        </w:rPr>
        <w:t>összevontan – kamatokkal együtt az Országos Betétbiztosítási Alap által, a 2013.évi CCXXXVII. törvény 209-219</w:t>
      </w:r>
      <w:r w:rsidR="00C56503">
        <w:rPr>
          <w:rFonts w:ascii="Arial" w:hAnsi="Arial" w:cs="Arial"/>
          <w:sz w:val="20"/>
        </w:rPr>
        <w:t>.</w:t>
      </w:r>
      <w:r w:rsidR="00537AC9">
        <w:rPr>
          <w:rFonts w:ascii="Arial" w:hAnsi="Arial" w:cs="Arial"/>
          <w:sz w:val="20"/>
        </w:rPr>
        <w:t xml:space="preserve"> §§-ban foglaltak szerint biztosított</w:t>
      </w:r>
      <w:r w:rsidRPr="009F725F">
        <w:rPr>
          <w:rFonts w:ascii="Arial" w:hAnsi="Arial" w:cs="Arial"/>
          <w:noProof/>
          <w:sz w:val="20"/>
        </w:rPr>
        <w:t>.</w:t>
      </w:r>
    </w:p>
    <w:p w14:paraId="523BBB69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58918847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Nyugdíj-előtakarékossági összevont értékpapírszámla</w:t>
      </w:r>
    </w:p>
    <w:p w14:paraId="62260387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676235EC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BA01FE">
        <w:rPr>
          <w:rFonts w:ascii="Arial" w:hAnsi="Arial" w:cs="Arial"/>
          <w:sz w:val="20"/>
        </w:rPr>
        <w:t>F</w:t>
      </w:r>
      <w:r w:rsidRPr="009F725F">
        <w:rPr>
          <w:rFonts w:ascii="Arial" w:hAnsi="Arial" w:cs="Arial"/>
          <w:sz w:val="20"/>
        </w:rPr>
        <w:t xml:space="preserve">elek megállapodnak abban, hogy a Bank az Ügyfél részére nyugdíj-előtakarékosság tárgyát képező dematerializált és nyomtatott úton előállított értékpapírok nyilvántartására, kezelésére nyugdíj-előtakarékossági összevont értékpapírszámlát (a továbbiakban: </w:t>
      </w:r>
      <w:r w:rsidRPr="009F725F">
        <w:rPr>
          <w:rFonts w:ascii="Arial" w:hAnsi="Arial" w:cs="Arial"/>
          <w:b/>
          <w:bCs/>
          <w:sz w:val="20"/>
        </w:rPr>
        <w:t>Nyugdíj összevont értékpapírszámla</w:t>
      </w:r>
      <w:r w:rsidRPr="009F725F">
        <w:rPr>
          <w:rFonts w:ascii="Arial" w:hAnsi="Arial" w:cs="Arial"/>
          <w:sz w:val="20"/>
        </w:rPr>
        <w:t xml:space="preserve">) nyit és vezet. </w:t>
      </w:r>
    </w:p>
    <w:p w14:paraId="3DBB7D72" w14:textId="77777777" w:rsidR="00C07686" w:rsidRPr="009F725F" w:rsidRDefault="00C07686">
      <w:pPr>
        <w:ind w:left="360"/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 xml:space="preserve">Az Ügyfél Nyugdíj összevont értékpapírszámla száma: </w:t>
      </w:r>
      <w:bookmarkStart w:id="16" w:name="SZAMLA_EPSzamla"/>
      <w:r w:rsidRPr="009F725F">
        <w:rPr>
          <w:rFonts w:ascii="Arial" w:hAnsi="Arial" w:cs="Arial"/>
        </w:rPr>
        <w:t>………………………….</w:t>
      </w:r>
      <w:bookmarkEnd w:id="16"/>
    </w:p>
    <w:p w14:paraId="5CC848AB" w14:textId="77777777" w:rsidR="00C07686" w:rsidRPr="009F725F" w:rsidRDefault="00C07686">
      <w:pPr>
        <w:ind w:left="360"/>
        <w:jc w:val="both"/>
        <w:rPr>
          <w:rFonts w:ascii="Arial" w:hAnsi="Arial" w:cs="Arial"/>
        </w:rPr>
      </w:pPr>
    </w:p>
    <w:p w14:paraId="0A98A230" w14:textId="77777777" w:rsidR="00C07686" w:rsidRPr="009F725F" w:rsidRDefault="00C07686">
      <w:pPr>
        <w:ind w:left="360"/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 xml:space="preserve">(a Nyugdíj összevont értékpapírszámla és a Nyugdíj pénzszámlák a továbbiakban együttesen: </w:t>
      </w:r>
      <w:r w:rsidRPr="009F725F">
        <w:rPr>
          <w:rFonts w:ascii="Arial" w:hAnsi="Arial" w:cs="Arial"/>
          <w:b/>
          <w:bCs/>
        </w:rPr>
        <w:t>Nyugdíj-előtakarékossági számlák</w:t>
      </w:r>
      <w:r w:rsidRPr="009F725F">
        <w:rPr>
          <w:rFonts w:ascii="Arial" w:hAnsi="Arial" w:cs="Arial"/>
        </w:rPr>
        <w:t>)</w:t>
      </w:r>
    </w:p>
    <w:p w14:paraId="1C92CBA7" w14:textId="77777777" w:rsidR="00C07686" w:rsidRPr="009F725F" w:rsidRDefault="00C07686">
      <w:pPr>
        <w:ind w:left="360"/>
        <w:jc w:val="both"/>
        <w:rPr>
          <w:rFonts w:ascii="Arial" w:hAnsi="Arial" w:cs="Arial"/>
        </w:rPr>
      </w:pPr>
    </w:p>
    <w:p w14:paraId="469B92B2" w14:textId="0FD43A05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A Bank vállalja, hogy a 2.1. pontban meghatározott Nyugdíj összevont értékpapírszámlán teljesíti az Ügyfél szabályszerű, a Nyesz. tv. és a Bank vonatkozó szabályzatai szerint </w:t>
      </w:r>
      <w:r w:rsidR="00416784">
        <w:rPr>
          <w:rFonts w:ascii="Arial" w:hAnsi="Arial" w:cs="Arial"/>
          <w:sz w:val="20"/>
        </w:rPr>
        <w:t xml:space="preserve">az értékpapírszámlán </w:t>
      </w:r>
      <w:r w:rsidRPr="009F725F">
        <w:rPr>
          <w:rFonts w:ascii="Arial" w:hAnsi="Arial" w:cs="Arial"/>
          <w:sz w:val="20"/>
        </w:rPr>
        <w:t>végrehajtható rendelkezéseit. Ügyfél tudomásul veszi, hogy a Nyugdíj összevont értékpapírszámlán kizárólag a Nyugdíj pénzszámlák egyenlegének fedezete mellett adott megbízások teljesítéséből származó, továbbá a más számlavezetőnél vezetett nyugdíj-előtakarékossági számlák megszüntetése esetén a Nyugdíj-összevont értékpapírszámla javára érkező transzfer tárgyát képező dematerializált és nyomdai úton előállított értékpapírok írhatók jóvá</w:t>
      </w:r>
      <w:r w:rsidR="00C56503">
        <w:rPr>
          <w:rFonts w:ascii="Arial" w:hAnsi="Arial" w:cs="Arial"/>
          <w:sz w:val="20"/>
        </w:rPr>
        <w:t>,</w:t>
      </w:r>
      <w:r w:rsidRPr="009F725F">
        <w:rPr>
          <w:rFonts w:ascii="Arial" w:hAnsi="Arial" w:cs="Arial"/>
          <w:sz w:val="20"/>
        </w:rPr>
        <w:t xml:space="preserve"> illetve helyezhetők letétbe. </w:t>
      </w:r>
    </w:p>
    <w:p w14:paraId="59578603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0DBD08A5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Ügyfél tudomásul veszi, hogy a Nyugdíj összevont értékpapírszámlán nyilvántartott követelés a Tpt-nek a Befektetővédelmi Alapra vonatkozó szabályai szerint biztosítottnak tekintendő.</w:t>
      </w:r>
    </w:p>
    <w:p w14:paraId="28015678" w14:textId="77777777" w:rsidR="00E83A40" w:rsidRDefault="00E83A40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sz w:val="20"/>
        </w:rPr>
      </w:pPr>
    </w:p>
    <w:p w14:paraId="565EF9BB" w14:textId="77777777" w:rsidR="0039485D" w:rsidRDefault="0039485D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sz w:val="20"/>
        </w:rPr>
      </w:pPr>
    </w:p>
    <w:p w14:paraId="149F675C" w14:textId="641421BC" w:rsidR="0039485D" w:rsidRDefault="0039485D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sz w:val="20"/>
        </w:rPr>
      </w:pPr>
    </w:p>
    <w:p w14:paraId="735F1797" w14:textId="2218E415" w:rsidR="00C230C4" w:rsidRDefault="00C230C4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sz w:val="20"/>
        </w:rPr>
      </w:pPr>
    </w:p>
    <w:p w14:paraId="2FF2C695" w14:textId="77777777" w:rsidR="00C230C4" w:rsidRPr="009F725F" w:rsidRDefault="00C230C4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sz w:val="20"/>
        </w:rPr>
      </w:pPr>
    </w:p>
    <w:p w14:paraId="424CE187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lastRenderedPageBreak/>
        <w:t>Ügyfél nyilatkozatai</w:t>
      </w:r>
    </w:p>
    <w:p w14:paraId="1A74DF39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10A445C2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Az Ügyfél kijelenti, hogy a jelen Szerződésben szereplő adatai a valóságnak mindenben megfelelnek. A Bank kizárja a felelősségét az abból eredő kárért, hogy az Ügyfél az adataiban bekövetkezett változásokat nem, vagy késve, illetve hibásan jelenti be. </w:t>
      </w:r>
    </w:p>
    <w:p w14:paraId="0914D1DC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7EC3A91A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Az Ügyfél büntetőjogi felelőssége tudatában kijelenti, hogy a jelen Szerződés alapján létrejövő ügyleti megbízásokat saját nevében (tényleges tulajdonosként) teljesíti. Ügyfél tudomásul veszi, hogy a Bank bármikor jogosult a fenti nyilatkozattételre az Ügyfelet felszólítani. </w:t>
      </w:r>
    </w:p>
    <w:p w14:paraId="333B55E3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065AC0A8" w14:textId="3C5F1AA1" w:rsidR="00E945B8" w:rsidRPr="009F725F" w:rsidRDefault="00C07686" w:rsidP="00723F57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Ügyfél kijelenti, hogy a Bank által a jelen Szerződés alapján kínált befektetési eszközök, befektetési és kiegészítő befektetési szolgáltatások körére vonatkozó tájékoztatást megkapta és egyben tudomásul veszi, hogy a jelen Szerződés alapján a Nyugdíj-előtakarékossági számlák tekintetében a Bank kizárólag a jelen Szerződés 1. sz. mellékletében felsorolt befektetési eszközökre vonatkozóan fogad el megbízást.</w:t>
      </w:r>
    </w:p>
    <w:p w14:paraId="629DA2AE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5476C926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Megbízások</w:t>
      </w:r>
    </w:p>
    <w:p w14:paraId="6C0F8BC5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2B720405" w14:textId="6DD2C4D9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Az Ügyfél a Nyugdíj</w:t>
      </w:r>
      <w:r w:rsidR="00525F22">
        <w:rPr>
          <w:rFonts w:ascii="Arial" w:hAnsi="Arial" w:cs="Arial"/>
          <w:sz w:val="20"/>
        </w:rPr>
        <w:t xml:space="preserve"> összevont</w:t>
      </w:r>
      <w:r w:rsidRPr="009F725F">
        <w:rPr>
          <w:rFonts w:ascii="Arial" w:hAnsi="Arial" w:cs="Arial"/>
          <w:sz w:val="20"/>
        </w:rPr>
        <w:t xml:space="preserve"> </w:t>
      </w:r>
      <w:r w:rsidR="00525F22">
        <w:rPr>
          <w:rFonts w:ascii="Arial" w:hAnsi="Arial" w:cs="Arial"/>
          <w:sz w:val="20"/>
        </w:rPr>
        <w:t>értékpapír</w:t>
      </w:r>
      <w:r w:rsidRPr="009F725F">
        <w:rPr>
          <w:rFonts w:ascii="Arial" w:hAnsi="Arial" w:cs="Arial"/>
          <w:sz w:val="20"/>
        </w:rPr>
        <w:t xml:space="preserve">számlára vonatkozó megbízásait – a jelen Szerződésben foglalt korlátok betartása mellett - a Banknak írásban, személyesen vagy meghatalmazott útján, valamint erre irányuló igénye esetén a jelen Szerződés V. pontjában foglaltak szerint a Bank telefonbank szolgáltatásának (a továbbiakban: Telefonbank) igénybevételével telefonon, továbbá erre irányuló külön szerződés alapján a Bank </w:t>
      </w:r>
      <w:r w:rsidR="00686480">
        <w:rPr>
          <w:rFonts w:ascii="Arial" w:hAnsi="Arial" w:cs="Arial"/>
          <w:sz w:val="20"/>
        </w:rPr>
        <w:t>mBanking</w:t>
      </w:r>
      <w:r w:rsidRPr="009F725F">
        <w:rPr>
          <w:rFonts w:ascii="Arial" w:hAnsi="Arial" w:cs="Arial"/>
          <w:sz w:val="20"/>
        </w:rPr>
        <w:t xml:space="preserve"> szolgáltatásának igénybevételével adhatja meg. </w:t>
      </w:r>
    </w:p>
    <w:p w14:paraId="50110C9B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28DB3FD9" w14:textId="6298ACC9" w:rsidR="000C7DBF" w:rsidRPr="009F725F" w:rsidRDefault="000C7DBF" w:rsidP="00A650F1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237E6E">
        <w:rPr>
          <w:rFonts w:ascii="Arial" w:hAnsi="Arial" w:cs="Arial"/>
          <w:sz w:val="20"/>
        </w:rPr>
        <w:t>A</w:t>
      </w:r>
      <w:r w:rsidR="00C07686" w:rsidRPr="00237E6E">
        <w:rPr>
          <w:rFonts w:ascii="Arial" w:hAnsi="Arial" w:cs="Arial"/>
          <w:sz w:val="20"/>
        </w:rPr>
        <w:t xml:space="preserve"> Nyugdí</w:t>
      </w:r>
      <w:r w:rsidR="000C27CA" w:rsidRPr="00237E6E">
        <w:rPr>
          <w:rFonts w:ascii="Arial" w:hAnsi="Arial" w:cs="Arial"/>
          <w:sz w:val="20"/>
        </w:rPr>
        <w:t>j</w:t>
      </w:r>
      <w:r w:rsidR="00165157">
        <w:rPr>
          <w:rFonts w:ascii="Arial" w:hAnsi="Arial" w:cs="Arial"/>
          <w:sz w:val="20"/>
        </w:rPr>
        <w:t>pénz</w:t>
      </w:r>
      <w:r w:rsidR="000C27CA" w:rsidRPr="00237E6E">
        <w:rPr>
          <w:rFonts w:ascii="Arial" w:hAnsi="Arial" w:cs="Arial"/>
          <w:sz w:val="20"/>
        </w:rPr>
        <w:t>számlákra</w:t>
      </w:r>
      <w:r w:rsidR="00C07686" w:rsidRPr="00237E6E">
        <w:rPr>
          <w:rFonts w:ascii="Arial" w:hAnsi="Arial" w:cs="Arial"/>
          <w:sz w:val="20"/>
        </w:rPr>
        <w:t xml:space="preserve"> </w:t>
      </w:r>
      <w:r w:rsidR="000C27CA" w:rsidRPr="00E6152D">
        <w:rPr>
          <w:rFonts w:ascii="Arial" w:hAnsi="Arial" w:cs="Arial"/>
          <w:b/>
          <w:bCs/>
          <w:sz w:val="20"/>
        </w:rPr>
        <w:t xml:space="preserve">pénzforgalmi </w:t>
      </w:r>
      <w:r w:rsidRPr="00E6152D">
        <w:rPr>
          <w:rFonts w:ascii="Arial" w:hAnsi="Arial" w:cs="Arial"/>
          <w:b/>
          <w:bCs/>
          <w:sz w:val="20"/>
        </w:rPr>
        <w:t>megbízás</w:t>
      </w:r>
      <w:r w:rsidR="000C27CA" w:rsidRPr="00E6152D">
        <w:rPr>
          <w:rFonts w:ascii="Arial" w:hAnsi="Arial" w:cs="Arial"/>
          <w:b/>
          <w:bCs/>
          <w:sz w:val="20"/>
        </w:rPr>
        <w:t xml:space="preserve"> </w:t>
      </w:r>
      <w:r w:rsidR="001B1839">
        <w:rPr>
          <w:rFonts w:ascii="Arial" w:hAnsi="Arial" w:cs="Arial"/>
          <w:b/>
          <w:bCs/>
          <w:sz w:val="20"/>
        </w:rPr>
        <w:t xml:space="preserve">személyesen a bankfiókban, </w:t>
      </w:r>
      <w:r w:rsidR="00165157">
        <w:rPr>
          <w:rFonts w:ascii="Arial" w:hAnsi="Arial" w:cs="Arial"/>
          <w:b/>
          <w:bCs/>
          <w:sz w:val="20"/>
        </w:rPr>
        <w:t>kizárólag a szerződés megszűnésével egyidejűleg</w:t>
      </w:r>
      <w:r w:rsidR="000C27CA" w:rsidRPr="00AC2D57">
        <w:rPr>
          <w:rFonts w:ascii="Arial" w:hAnsi="Arial" w:cs="Arial"/>
          <w:b/>
          <w:bCs/>
          <w:sz w:val="20"/>
        </w:rPr>
        <w:t xml:space="preserve"> adható</w:t>
      </w:r>
      <w:r w:rsidR="00D5729B" w:rsidRPr="00237E6E">
        <w:rPr>
          <w:rFonts w:ascii="Arial" w:hAnsi="Arial" w:cs="Arial"/>
          <w:sz w:val="20"/>
        </w:rPr>
        <w:t xml:space="preserve">.  </w:t>
      </w:r>
    </w:p>
    <w:p w14:paraId="3ACB8350" w14:textId="77777777" w:rsidR="00C07686" w:rsidRPr="000C7DBF" w:rsidRDefault="00C07686" w:rsidP="00A650F1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2C795D0B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Telefonbank</w:t>
      </w:r>
    </w:p>
    <w:p w14:paraId="46F345B0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7DC550D8" w14:textId="395E8D48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Jelen Szerződés aláírásával az Ügyfél kijelenti, hogy a Banktól </w:t>
      </w:r>
      <w:r w:rsidR="00525F22" w:rsidRPr="001B1839">
        <w:rPr>
          <w:rFonts w:ascii="Arial" w:hAnsi="Arial" w:cs="Arial"/>
          <w:sz w:val="20"/>
        </w:rPr>
        <w:t xml:space="preserve">az </w:t>
      </w:r>
      <w:r w:rsidR="00525F22" w:rsidRPr="001B1839">
        <w:rPr>
          <w:rFonts w:ascii="Arial" w:hAnsi="Arial" w:cs="Arial"/>
          <w:b/>
          <w:bCs/>
          <w:sz w:val="20"/>
        </w:rPr>
        <w:t>Adatlap hozzáférési jogok megadására a Telefonbank szolgáltatás használatához szerződés</w:t>
      </w:r>
      <w:r w:rsidR="00525F22">
        <w:rPr>
          <w:rFonts w:ascii="Arial" w:hAnsi="Arial" w:cs="Arial"/>
          <w:b/>
          <w:bCs/>
          <w:sz w:val="20"/>
        </w:rPr>
        <w:t xml:space="preserve"> aláírásával</w:t>
      </w:r>
      <w:r w:rsidRPr="009F725F">
        <w:rPr>
          <w:rFonts w:ascii="Arial" w:hAnsi="Arial" w:cs="Arial"/>
          <w:sz w:val="20"/>
        </w:rPr>
        <w:t xml:space="preserve"> </w:t>
      </w:r>
      <w:r w:rsidR="00525F22">
        <w:rPr>
          <w:rFonts w:ascii="Arial" w:hAnsi="Arial" w:cs="Arial"/>
          <w:sz w:val="20"/>
        </w:rPr>
        <w:t>t</w:t>
      </w:r>
      <w:r w:rsidRPr="009F725F">
        <w:rPr>
          <w:rFonts w:ascii="Arial" w:hAnsi="Arial" w:cs="Arial"/>
          <w:sz w:val="20"/>
        </w:rPr>
        <w:t>elefonbank szolgáltatást kíván igénybe venni a Nyugdíj-előtakarékossági számlák tekintetében</w:t>
      </w:r>
      <w:r w:rsidRPr="009F725F">
        <w:rPr>
          <w:rStyle w:val="FootnoteReference"/>
          <w:rFonts w:ascii="Arial" w:hAnsi="Arial" w:cs="Arial"/>
          <w:noProof/>
          <w:sz w:val="20"/>
        </w:rPr>
        <w:footnoteReference w:id="3"/>
      </w:r>
      <w:r w:rsidRPr="009F725F">
        <w:rPr>
          <w:rFonts w:ascii="Arial" w:hAnsi="Arial" w:cs="Arial"/>
          <w:sz w:val="20"/>
        </w:rPr>
        <w:t>.</w:t>
      </w:r>
    </w:p>
    <w:p w14:paraId="6EA069C7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1B06FAF2" w14:textId="5095068D" w:rsidR="00C07686" w:rsidRPr="009F725F" w:rsidRDefault="00DD78C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Az Ügyfél tudomásul veszi, hogy a Nyugdíj pénzszámlák tekintetében kizárólag lekérdezési jogot igényelhet, míg a Nyugdíj összevont értékpapírszámla tekintetében választhat lekérdezési vagy rendelkezési jog között.</w:t>
      </w:r>
    </w:p>
    <w:p w14:paraId="5DCD7CE2" w14:textId="77777777" w:rsidR="00C07686" w:rsidRPr="009F725F" w:rsidRDefault="00C07686" w:rsidP="001B183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2F3CCD88" w14:textId="3BAFC332" w:rsidR="00C07686" w:rsidRPr="009F725F" w:rsidRDefault="00C230C4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bookmarkStart w:id="17" w:name="_Hlk213240676"/>
      <w:r>
        <w:rPr>
          <w:rFonts w:ascii="Arial" w:hAnsi="Arial" w:cs="Arial"/>
          <w:b/>
          <w:bCs/>
          <w:sz w:val="20"/>
        </w:rPr>
        <w:t>e</w:t>
      </w:r>
      <w:r w:rsidR="00C07686" w:rsidRPr="009F725F">
        <w:rPr>
          <w:rFonts w:ascii="Arial" w:hAnsi="Arial" w:cs="Arial"/>
          <w:b/>
          <w:bCs/>
          <w:sz w:val="20"/>
        </w:rPr>
        <w:t>Banking</w:t>
      </w:r>
    </w:p>
    <w:p w14:paraId="4AA5B5AB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5237441A" w14:textId="1218CC88" w:rsidR="00D07642" w:rsidRPr="00E6152D" w:rsidRDefault="00D07642" w:rsidP="00E6152D">
      <w:pPr>
        <w:pStyle w:val="BodyText"/>
        <w:jc w:val="left"/>
        <w:rPr>
          <w:rFonts w:ascii="Arial" w:hAnsi="Arial" w:cs="Arial"/>
          <w:bCs/>
          <w:i w:val="0"/>
        </w:rPr>
      </w:pPr>
      <w:bookmarkStart w:id="18" w:name="_Hlk213689888"/>
      <w:r w:rsidRPr="001B1839">
        <w:rPr>
          <w:rFonts w:ascii="Arial" w:hAnsi="Arial" w:cs="Arial"/>
          <w:i w:val="0"/>
        </w:rPr>
        <w:t>A Szerződés aláírásával a Számlatulajdonos kijelenti, hogy a Banktól</w:t>
      </w:r>
      <w:r w:rsidR="00096624" w:rsidRPr="001B1839">
        <w:rPr>
          <w:rFonts w:ascii="Arial" w:hAnsi="Arial" w:cs="Arial"/>
          <w:i w:val="0"/>
        </w:rPr>
        <w:t xml:space="preserve"> a Nyugdíj</w:t>
      </w:r>
      <w:r w:rsidR="00A1224F">
        <w:rPr>
          <w:rFonts w:ascii="Arial" w:hAnsi="Arial" w:cs="Arial"/>
          <w:i w:val="0"/>
        </w:rPr>
        <w:t>-előtakarékossági számlákra</w:t>
      </w:r>
      <w:r w:rsidRPr="001B1839">
        <w:rPr>
          <w:rFonts w:ascii="Arial" w:hAnsi="Arial" w:cs="Arial"/>
          <w:i w:val="0"/>
        </w:rPr>
        <w:t xml:space="preserve"> vonatkozóan </w:t>
      </w:r>
      <w:r w:rsidR="0042350B" w:rsidRPr="001B1839">
        <w:rPr>
          <w:rFonts w:ascii="Arial" w:hAnsi="Arial" w:cs="Arial"/>
          <w:i w:val="0"/>
        </w:rPr>
        <w:t>az eBanking szolgá</w:t>
      </w:r>
      <w:r w:rsidR="00AC2D57">
        <w:rPr>
          <w:rFonts w:ascii="Arial" w:hAnsi="Arial" w:cs="Arial"/>
          <w:i w:val="0"/>
        </w:rPr>
        <w:t>l</w:t>
      </w:r>
      <w:r w:rsidR="0042350B" w:rsidRPr="001B1839">
        <w:rPr>
          <w:rFonts w:ascii="Arial" w:hAnsi="Arial" w:cs="Arial"/>
          <w:i w:val="0"/>
        </w:rPr>
        <w:t>tatás igénybevételéről</w:t>
      </w:r>
      <w:r w:rsidR="00406AAF" w:rsidRPr="001B1839">
        <w:rPr>
          <w:rFonts w:ascii="Arial" w:hAnsi="Arial" w:cs="Arial"/>
          <w:i w:val="0"/>
        </w:rPr>
        <w:t>,</w:t>
      </w:r>
      <w:r w:rsidRPr="001B1839">
        <w:rPr>
          <w:rFonts w:ascii="Arial" w:hAnsi="Arial" w:cs="Arial"/>
          <w:i w:val="0"/>
        </w:rPr>
        <w:t xml:space="preserve"> </w:t>
      </w:r>
      <w:r w:rsidR="001B1839" w:rsidRPr="001B1839">
        <w:rPr>
          <w:rFonts w:ascii="Arial" w:hAnsi="Arial" w:cs="Arial"/>
          <w:i w:val="0"/>
        </w:rPr>
        <w:t xml:space="preserve">részletesen </w:t>
      </w:r>
      <w:r w:rsidR="00074AF0" w:rsidRPr="001B1839">
        <w:rPr>
          <w:rFonts w:ascii="Arial" w:hAnsi="Arial" w:cs="Arial"/>
          <w:i w:val="0"/>
        </w:rPr>
        <w:t xml:space="preserve">az </w:t>
      </w:r>
      <w:r w:rsidR="00074AF0" w:rsidRPr="00AC2D57">
        <w:rPr>
          <w:rFonts w:ascii="Arial" w:hAnsi="Arial" w:cs="Arial"/>
          <w:b/>
          <w:bCs/>
          <w:i w:val="0"/>
        </w:rPr>
        <w:t>Adatlap hozzáférési jogok megadására az eBanking szolgáltatás használatáho</w:t>
      </w:r>
      <w:r w:rsidR="001B1839" w:rsidRPr="001B1839">
        <w:rPr>
          <w:rFonts w:ascii="Arial" w:hAnsi="Arial" w:cs="Arial"/>
          <w:b/>
          <w:bCs/>
          <w:i w:val="0"/>
        </w:rPr>
        <w:t>z</w:t>
      </w:r>
      <w:r w:rsidR="00074AF0" w:rsidRPr="00AC2D57">
        <w:rPr>
          <w:rFonts w:ascii="Arial" w:hAnsi="Arial" w:cs="Arial"/>
          <w:b/>
          <w:bCs/>
          <w:i w:val="0"/>
        </w:rPr>
        <w:t xml:space="preserve"> szerződés</w:t>
      </w:r>
      <w:r w:rsidR="001B1839" w:rsidRPr="001B1839">
        <w:rPr>
          <w:rFonts w:ascii="Arial" w:hAnsi="Arial" w:cs="Arial"/>
          <w:b/>
          <w:bCs/>
          <w:i w:val="0"/>
        </w:rPr>
        <w:t xml:space="preserve"> </w:t>
      </w:r>
      <w:r w:rsidR="001B1839" w:rsidRPr="00AC2D57">
        <w:rPr>
          <w:rFonts w:ascii="Arial" w:hAnsi="Arial" w:cs="Arial"/>
          <w:i w:val="0"/>
        </w:rPr>
        <w:t>aláírásával</w:t>
      </w:r>
      <w:r w:rsidR="0042350B" w:rsidRPr="00AC2D57">
        <w:rPr>
          <w:rFonts w:ascii="Arial" w:hAnsi="Arial" w:cs="Arial"/>
          <w:i w:val="0"/>
        </w:rPr>
        <w:t xml:space="preserve"> </w:t>
      </w:r>
      <w:r w:rsidR="0042350B" w:rsidRPr="001B1839">
        <w:rPr>
          <w:rFonts w:ascii="Arial" w:hAnsi="Arial" w:cs="Arial"/>
          <w:i w:val="0"/>
        </w:rPr>
        <w:t>rendelkezik.</w:t>
      </w:r>
      <w:r w:rsidR="005D4DB3">
        <w:rPr>
          <w:rFonts w:ascii="Arial" w:hAnsi="Arial" w:cs="Arial"/>
          <w:i w:val="0"/>
        </w:rPr>
        <w:t xml:space="preserve"> </w:t>
      </w:r>
      <w:r w:rsidR="00A1224F" w:rsidRPr="00E6152D">
        <w:rPr>
          <w:rFonts w:ascii="Arial" w:hAnsi="Arial" w:cs="Arial"/>
          <w:bCs/>
          <w:i w:val="0"/>
        </w:rPr>
        <w:t>Az Ügyfél eBanking szolgáltatás keretében kizárólag lekérdezési jogot kérhet a Nyugdíj-előtakarékossági számlák tekintetében.</w:t>
      </w:r>
    </w:p>
    <w:bookmarkEnd w:id="17"/>
    <w:bookmarkEnd w:id="18"/>
    <w:p w14:paraId="7EFC879B" w14:textId="77777777" w:rsidR="001B1839" w:rsidRPr="009F725F" w:rsidRDefault="001B1839" w:rsidP="00D07642">
      <w:pPr>
        <w:pStyle w:val="BodyText"/>
        <w:ind w:left="360"/>
        <w:jc w:val="left"/>
        <w:rPr>
          <w:rFonts w:ascii="Arial" w:hAnsi="Arial" w:cs="Arial"/>
          <w:b/>
          <w:i w:val="0"/>
          <w:vertAlign w:val="superscript"/>
        </w:rPr>
      </w:pPr>
    </w:p>
    <w:p w14:paraId="02D1ECB0" w14:textId="1B0444F3" w:rsidR="00D07642" w:rsidRDefault="00D07642" w:rsidP="00E6152D">
      <w:pPr>
        <w:pStyle w:val="BodyText"/>
        <w:jc w:val="left"/>
        <w:rPr>
          <w:rFonts w:ascii="Arial" w:hAnsi="Arial" w:cs="Arial"/>
          <w:i w:val="0"/>
        </w:rPr>
      </w:pPr>
      <w:r w:rsidRPr="009F725F">
        <w:rPr>
          <w:rFonts w:ascii="Arial" w:hAnsi="Arial" w:cs="Arial"/>
          <w:i w:val="0"/>
          <w:snapToGrid w:val="0"/>
        </w:rPr>
        <w:t>Számlatulajdonos külön adatlapo(ko)n nyilatkozhat azon Felhasználók köréről, akik részére a</w:t>
      </w:r>
      <w:r w:rsidR="00C230C4">
        <w:rPr>
          <w:rFonts w:ascii="Arial" w:hAnsi="Arial" w:cs="Arial"/>
          <w:i w:val="0"/>
          <w:snapToGrid w:val="0"/>
        </w:rPr>
        <w:t>z</w:t>
      </w:r>
      <w:r w:rsidRPr="009F725F">
        <w:rPr>
          <w:rFonts w:ascii="Arial" w:hAnsi="Arial" w:cs="Arial"/>
          <w:i w:val="0"/>
          <w:snapToGrid w:val="0"/>
        </w:rPr>
        <w:t xml:space="preserve"> </w:t>
      </w:r>
      <w:r w:rsidR="00C230C4">
        <w:rPr>
          <w:rFonts w:ascii="Arial" w:hAnsi="Arial" w:cs="Arial"/>
          <w:i w:val="0"/>
          <w:snapToGrid w:val="0"/>
        </w:rPr>
        <w:t>eBanking</w:t>
      </w:r>
      <w:r w:rsidR="00903AC0">
        <w:rPr>
          <w:rFonts w:ascii="Arial" w:hAnsi="Arial" w:cs="Arial"/>
          <w:i w:val="0"/>
          <w:snapToGrid w:val="0"/>
        </w:rPr>
        <w:t xml:space="preserve"> </w:t>
      </w:r>
      <w:r w:rsidRPr="009F725F">
        <w:rPr>
          <w:rFonts w:ascii="Arial" w:hAnsi="Arial" w:cs="Arial"/>
          <w:i w:val="0"/>
          <w:snapToGrid w:val="0"/>
        </w:rPr>
        <w:t>rendszeren keresztül - az ott</w:t>
      </w:r>
      <w:r w:rsidRPr="009F725F">
        <w:rPr>
          <w:rFonts w:ascii="Arial" w:hAnsi="Arial" w:cs="Arial"/>
          <w:i w:val="0"/>
        </w:rPr>
        <w:t xml:space="preserve"> meghatározott feltételekkel - </w:t>
      </w:r>
      <w:r w:rsidR="00A1224F">
        <w:rPr>
          <w:rFonts w:ascii="Arial" w:hAnsi="Arial" w:cs="Arial"/>
          <w:i w:val="0"/>
        </w:rPr>
        <w:t>lekérdezési</w:t>
      </w:r>
      <w:r w:rsidR="00A1224F" w:rsidRPr="009F725F">
        <w:rPr>
          <w:rFonts w:ascii="Arial" w:hAnsi="Arial" w:cs="Arial"/>
          <w:i w:val="0"/>
        </w:rPr>
        <w:t xml:space="preserve"> </w:t>
      </w:r>
      <w:r w:rsidRPr="009F725F">
        <w:rPr>
          <w:rFonts w:ascii="Arial" w:hAnsi="Arial" w:cs="Arial"/>
          <w:i w:val="0"/>
        </w:rPr>
        <w:t xml:space="preserve">jogot biztosít. </w:t>
      </w:r>
    </w:p>
    <w:p w14:paraId="45916D50" w14:textId="77777777" w:rsidR="00903AC0" w:rsidRDefault="00903AC0" w:rsidP="00D07642">
      <w:pPr>
        <w:pStyle w:val="BodyText"/>
        <w:ind w:left="360"/>
        <w:jc w:val="left"/>
        <w:rPr>
          <w:rFonts w:ascii="Arial" w:hAnsi="Arial" w:cs="Arial"/>
          <w:i w:val="0"/>
        </w:rPr>
      </w:pPr>
    </w:p>
    <w:p w14:paraId="66F5DC2A" w14:textId="6AC243B4" w:rsidR="00903AC0" w:rsidRPr="009F725F" w:rsidRDefault="00903AC0" w:rsidP="00903AC0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mBanking</w:t>
      </w:r>
    </w:p>
    <w:p w14:paraId="010C26D5" w14:textId="77777777" w:rsidR="00903AC0" w:rsidRPr="009F725F" w:rsidRDefault="00903AC0" w:rsidP="00903AC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4A3A5840" w14:textId="606C38CF" w:rsidR="00903AC0" w:rsidRPr="001B1839" w:rsidRDefault="00903AC0" w:rsidP="00E6152D">
      <w:pPr>
        <w:pStyle w:val="BodyText"/>
        <w:jc w:val="left"/>
        <w:rPr>
          <w:rFonts w:ascii="Arial" w:hAnsi="Arial" w:cs="Arial"/>
          <w:b/>
          <w:i w:val="0"/>
          <w:vertAlign w:val="superscript"/>
        </w:rPr>
      </w:pPr>
      <w:r w:rsidRPr="001B1839">
        <w:rPr>
          <w:rFonts w:ascii="Arial" w:hAnsi="Arial" w:cs="Arial"/>
          <w:i w:val="0"/>
        </w:rPr>
        <w:t xml:space="preserve">A Szerződés aláírásával a Számlatulajdonos kijelenti, hogy a Banktól, </w:t>
      </w:r>
      <w:r w:rsidR="000233DB" w:rsidRPr="001B1839">
        <w:rPr>
          <w:rFonts w:ascii="Arial" w:hAnsi="Arial" w:cs="Arial"/>
          <w:i w:val="0"/>
        </w:rPr>
        <w:t>a Nyugdíj</w:t>
      </w:r>
      <w:r w:rsidR="007D0B41">
        <w:rPr>
          <w:rFonts w:ascii="Arial" w:hAnsi="Arial" w:cs="Arial"/>
          <w:i w:val="0"/>
        </w:rPr>
        <w:t>-előtakarékossági számlákra</w:t>
      </w:r>
      <w:r w:rsidR="00EC7225">
        <w:rPr>
          <w:rFonts w:ascii="Arial" w:hAnsi="Arial" w:cs="Arial"/>
          <w:i w:val="0"/>
        </w:rPr>
        <w:t xml:space="preserve"> </w:t>
      </w:r>
      <w:r w:rsidRPr="001B1839">
        <w:rPr>
          <w:rFonts w:ascii="Arial" w:hAnsi="Arial" w:cs="Arial"/>
          <w:i w:val="0"/>
        </w:rPr>
        <w:t xml:space="preserve">vonatkozóan </w:t>
      </w:r>
      <w:r w:rsidR="0042350B" w:rsidRPr="001B1839">
        <w:rPr>
          <w:rFonts w:ascii="Arial" w:hAnsi="Arial" w:cs="Arial"/>
          <w:i w:val="0"/>
        </w:rPr>
        <w:t>az mBanking szolgáltatás igénybevételéről</w:t>
      </w:r>
      <w:r w:rsidR="001B1839" w:rsidRPr="001B1839">
        <w:rPr>
          <w:rFonts w:ascii="Arial" w:hAnsi="Arial" w:cs="Arial"/>
          <w:i w:val="0"/>
        </w:rPr>
        <w:t>, részletesen</w:t>
      </w:r>
      <w:r w:rsidR="0042350B" w:rsidRPr="001B1839">
        <w:rPr>
          <w:rFonts w:ascii="Arial" w:hAnsi="Arial" w:cs="Arial"/>
          <w:i w:val="0"/>
        </w:rPr>
        <w:t xml:space="preserve"> </w:t>
      </w:r>
      <w:r w:rsidR="00074AF0" w:rsidRPr="001B1839">
        <w:rPr>
          <w:rFonts w:ascii="Arial" w:hAnsi="Arial" w:cs="Arial"/>
          <w:i w:val="0"/>
        </w:rPr>
        <w:t xml:space="preserve">az </w:t>
      </w:r>
      <w:r w:rsidR="00074AF0" w:rsidRPr="00AC2D57">
        <w:rPr>
          <w:rFonts w:ascii="Arial" w:hAnsi="Arial" w:cs="Arial"/>
          <w:b/>
          <w:bCs/>
          <w:i w:val="0"/>
        </w:rPr>
        <w:t>Adatlap hozzáférési jogok megadására az mBanking szolgáltatás használatához szerződés</w:t>
      </w:r>
      <w:r w:rsidR="001B1839" w:rsidRPr="001B1839">
        <w:rPr>
          <w:rFonts w:ascii="Arial" w:hAnsi="Arial" w:cs="Arial"/>
          <w:b/>
          <w:bCs/>
          <w:i w:val="0"/>
        </w:rPr>
        <w:t xml:space="preserve"> </w:t>
      </w:r>
      <w:r w:rsidR="001B1839" w:rsidRPr="00AC2D57">
        <w:rPr>
          <w:rFonts w:ascii="Arial" w:hAnsi="Arial" w:cs="Arial"/>
          <w:i w:val="0"/>
        </w:rPr>
        <w:t>aláírásával</w:t>
      </w:r>
      <w:r w:rsidR="0042350B" w:rsidRPr="00AC2D57">
        <w:rPr>
          <w:rFonts w:ascii="Arial" w:hAnsi="Arial" w:cs="Arial"/>
          <w:i w:val="0"/>
        </w:rPr>
        <w:t xml:space="preserve"> </w:t>
      </w:r>
      <w:r w:rsidR="0042350B" w:rsidRPr="001B1839">
        <w:rPr>
          <w:rFonts w:ascii="Arial" w:hAnsi="Arial" w:cs="Arial"/>
          <w:b/>
          <w:bCs/>
          <w:i w:val="0"/>
        </w:rPr>
        <w:t>rendelkezik.</w:t>
      </w:r>
      <w:r w:rsidR="00074AF0" w:rsidRPr="001B1839">
        <w:rPr>
          <w:rFonts w:ascii="Arial" w:hAnsi="Arial" w:cs="Arial"/>
          <w:i w:val="0"/>
        </w:rPr>
        <w:t xml:space="preserve"> </w:t>
      </w:r>
    </w:p>
    <w:p w14:paraId="559260CF" w14:textId="77777777" w:rsidR="001D4E84" w:rsidRDefault="001D4E84" w:rsidP="00AC2D57">
      <w:pPr>
        <w:pStyle w:val="BodyText"/>
        <w:jc w:val="left"/>
        <w:rPr>
          <w:rFonts w:ascii="Arial" w:hAnsi="Arial" w:cs="Arial"/>
          <w:b/>
          <w:bCs/>
          <w:i w:val="0"/>
        </w:rPr>
      </w:pPr>
    </w:p>
    <w:p w14:paraId="344C4B91" w14:textId="59AAA990" w:rsidR="00A1224F" w:rsidRDefault="001D4E84" w:rsidP="00E6152D">
      <w:pPr>
        <w:pStyle w:val="BodyText"/>
        <w:jc w:val="left"/>
        <w:rPr>
          <w:rFonts w:ascii="Arial" w:hAnsi="Arial" w:cs="Arial"/>
          <w:i w:val="0"/>
        </w:rPr>
      </w:pPr>
      <w:r w:rsidRPr="00962908">
        <w:rPr>
          <w:rFonts w:ascii="Arial" w:hAnsi="Arial" w:cs="Arial"/>
          <w:i w:val="0"/>
        </w:rPr>
        <w:t>A</w:t>
      </w:r>
      <w:r w:rsidR="00962908" w:rsidRPr="00962908">
        <w:rPr>
          <w:rFonts w:ascii="Arial" w:hAnsi="Arial" w:cs="Arial"/>
          <w:i w:val="0"/>
        </w:rPr>
        <w:t xml:space="preserve">z </w:t>
      </w:r>
      <w:r w:rsidR="00730D18">
        <w:rPr>
          <w:rFonts w:ascii="Arial" w:hAnsi="Arial" w:cs="Arial"/>
          <w:i w:val="0"/>
        </w:rPr>
        <w:t xml:space="preserve">I. </w:t>
      </w:r>
      <w:r w:rsidR="00962908" w:rsidRPr="00962908">
        <w:rPr>
          <w:rFonts w:ascii="Arial" w:hAnsi="Arial" w:cs="Arial"/>
          <w:i w:val="0"/>
        </w:rPr>
        <w:t>(1)</w:t>
      </w:r>
      <w:r w:rsidR="00962908">
        <w:rPr>
          <w:rFonts w:ascii="Arial" w:hAnsi="Arial" w:cs="Arial"/>
          <w:i w:val="0"/>
        </w:rPr>
        <w:t xml:space="preserve"> megjelölésű</w:t>
      </w:r>
      <w:r w:rsidR="00962908" w:rsidRPr="00962908">
        <w:rPr>
          <w:rFonts w:ascii="Arial" w:hAnsi="Arial" w:cs="Arial"/>
          <w:i w:val="0"/>
        </w:rPr>
        <w:t xml:space="preserve"> </w:t>
      </w:r>
      <w:r w:rsidR="00962908" w:rsidRPr="00AC2D57">
        <w:rPr>
          <w:rFonts w:ascii="Arial" w:hAnsi="Arial" w:cs="Arial"/>
          <w:i w:val="0"/>
        </w:rPr>
        <w:t>Nyugdíj pénzszáml</w:t>
      </w:r>
      <w:r w:rsidR="00DD2064">
        <w:rPr>
          <w:rFonts w:ascii="Arial" w:hAnsi="Arial" w:cs="Arial"/>
          <w:i w:val="0"/>
        </w:rPr>
        <w:t>a terhére</w:t>
      </w:r>
      <w:r w:rsidR="00962908">
        <w:rPr>
          <w:rFonts w:ascii="Arial" w:hAnsi="Arial" w:cs="Arial"/>
          <w:i w:val="0"/>
        </w:rPr>
        <w:t xml:space="preserve"> </w:t>
      </w:r>
      <w:r w:rsidR="00962908" w:rsidRPr="00AC2D57">
        <w:rPr>
          <w:rFonts w:ascii="Arial" w:hAnsi="Arial" w:cs="Arial"/>
          <w:i w:val="0"/>
        </w:rPr>
        <w:t>vonatkozó</w:t>
      </w:r>
      <w:r w:rsidRPr="00962908">
        <w:rPr>
          <w:rFonts w:ascii="Arial" w:hAnsi="Arial" w:cs="Arial"/>
          <w:i w:val="0"/>
        </w:rPr>
        <w:t xml:space="preserve"> értékpapír megbízás az</w:t>
      </w:r>
      <w:r w:rsidR="005D4DB3">
        <w:rPr>
          <w:rFonts w:ascii="Arial" w:hAnsi="Arial" w:cs="Arial"/>
          <w:i w:val="0"/>
        </w:rPr>
        <w:t xml:space="preserve"> </w:t>
      </w:r>
      <w:r w:rsidRPr="00AC2D57">
        <w:rPr>
          <w:rFonts w:ascii="Arial" w:hAnsi="Arial" w:cs="Arial"/>
          <w:i w:val="0"/>
        </w:rPr>
        <w:t>mBanking szolgáltatás</w:t>
      </w:r>
      <w:r w:rsidR="00A1224F">
        <w:rPr>
          <w:rFonts w:ascii="Arial" w:hAnsi="Arial" w:cs="Arial"/>
          <w:i w:val="0"/>
        </w:rPr>
        <w:t xml:space="preserve"> kertében nem adható,</w:t>
      </w:r>
      <w:r w:rsidRPr="00AC2D57">
        <w:rPr>
          <w:rFonts w:ascii="Arial" w:hAnsi="Arial" w:cs="Arial"/>
          <w:i w:val="0"/>
        </w:rPr>
        <w:t xml:space="preserve"> a</w:t>
      </w:r>
      <w:r w:rsidR="00730D18">
        <w:rPr>
          <w:rFonts w:ascii="Arial" w:hAnsi="Arial" w:cs="Arial"/>
          <w:i w:val="0"/>
        </w:rPr>
        <w:t>z I.</w:t>
      </w:r>
      <w:r w:rsidRPr="00AC2D57">
        <w:rPr>
          <w:rFonts w:ascii="Arial" w:hAnsi="Arial" w:cs="Arial"/>
          <w:i w:val="0"/>
        </w:rPr>
        <w:t xml:space="preserve"> </w:t>
      </w:r>
      <w:r w:rsidR="00962908" w:rsidRPr="00962908">
        <w:rPr>
          <w:rFonts w:ascii="Arial" w:hAnsi="Arial" w:cs="Arial"/>
          <w:i w:val="0"/>
        </w:rPr>
        <w:t>(2)</w:t>
      </w:r>
      <w:r w:rsidR="00962908">
        <w:rPr>
          <w:rFonts w:ascii="Arial" w:hAnsi="Arial" w:cs="Arial"/>
          <w:i w:val="0"/>
        </w:rPr>
        <w:t xml:space="preserve"> megjelölésű</w:t>
      </w:r>
      <w:r w:rsidR="00962908" w:rsidRPr="00962908">
        <w:rPr>
          <w:rFonts w:ascii="Arial" w:hAnsi="Arial" w:cs="Arial"/>
          <w:i w:val="0"/>
        </w:rPr>
        <w:t xml:space="preserve"> Nyugdíj</w:t>
      </w:r>
      <w:r w:rsidRPr="00AC2D57">
        <w:rPr>
          <w:rFonts w:ascii="Arial" w:hAnsi="Arial" w:cs="Arial"/>
          <w:i w:val="0"/>
        </w:rPr>
        <w:t xml:space="preserve"> </w:t>
      </w:r>
      <w:r w:rsidR="00962908" w:rsidRPr="00962908">
        <w:rPr>
          <w:rFonts w:ascii="Arial" w:hAnsi="Arial" w:cs="Arial"/>
          <w:i w:val="0"/>
        </w:rPr>
        <w:t>pénz</w:t>
      </w:r>
      <w:r w:rsidRPr="00AC2D57">
        <w:rPr>
          <w:rFonts w:ascii="Arial" w:hAnsi="Arial" w:cs="Arial"/>
          <w:i w:val="0"/>
        </w:rPr>
        <w:t>száml</w:t>
      </w:r>
      <w:r w:rsidR="005310D3">
        <w:rPr>
          <w:rFonts w:ascii="Arial" w:hAnsi="Arial" w:cs="Arial"/>
          <w:i w:val="0"/>
        </w:rPr>
        <w:t>a terhére</w:t>
      </w:r>
      <w:r w:rsidRPr="00AC2D57">
        <w:rPr>
          <w:rFonts w:ascii="Arial" w:hAnsi="Arial" w:cs="Arial"/>
          <w:i w:val="0"/>
        </w:rPr>
        <w:t xml:space="preserve"> </w:t>
      </w:r>
      <w:r w:rsidR="00A1224F">
        <w:rPr>
          <w:rFonts w:ascii="Arial" w:hAnsi="Arial" w:cs="Arial"/>
          <w:i w:val="0"/>
        </w:rPr>
        <w:t>adható</w:t>
      </w:r>
      <w:r w:rsidRPr="00AC2D57">
        <w:rPr>
          <w:rFonts w:ascii="Arial" w:hAnsi="Arial" w:cs="Arial"/>
          <w:i w:val="0"/>
        </w:rPr>
        <w:t xml:space="preserve"> értékpapír megbízás</w:t>
      </w:r>
      <w:r w:rsidR="002E3ACA">
        <w:rPr>
          <w:rFonts w:ascii="Arial" w:hAnsi="Arial" w:cs="Arial"/>
          <w:i w:val="0"/>
        </w:rPr>
        <w:t>.</w:t>
      </w:r>
    </w:p>
    <w:p w14:paraId="35A87447" w14:textId="77777777" w:rsidR="00A1224F" w:rsidRDefault="00A1224F" w:rsidP="00D07642">
      <w:pPr>
        <w:pStyle w:val="BodyText"/>
        <w:ind w:left="360"/>
        <w:jc w:val="left"/>
        <w:rPr>
          <w:rFonts w:ascii="Arial" w:hAnsi="Arial" w:cs="Arial"/>
          <w:i w:val="0"/>
        </w:rPr>
      </w:pPr>
    </w:p>
    <w:p w14:paraId="27906A43" w14:textId="49E9F0DA" w:rsidR="00074AF0" w:rsidRPr="00962908" w:rsidRDefault="002E3ACA" w:rsidP="00E6152D">
      <w:pPr>
        <w:pStyle w:val="BodyText"/>
        <w:jc w:val="lef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>A</w:t>
      </w:r>
      <w:r w:rsidR="008F60B8">
        <w:rPr>
          <w:rFonts w:ascii="Arial" w:hAnsi="Arial" w:cs="Arial"/>
          <w:i w:val="0"/>
        </w:rPr>
        <w:t xml:space="preserve"> Bank az</w:t>
      </w:r>
      <w:r>
        <w:rPr>
          <w:rFonts w:ascii="Arial" w:hAnsi="Arial" w:cs="Arial"/>
          <w:i w:val="0"/>
        </w:rPr>
        <w:t xml:space="preserve"> mBanking szolgáltatás </w:t>
      </w:r>
      <w:r w:rsidR="00342227">
        <w:rPr>
          <w:rFonts w:ascii="Arial" w:hAnsi="Arial" w:cs="Arial"/>
          <w:i w:val="0"/>
        </w:rPr>
        <w:t>B</w:t>
      </w:r>
      <w:r>
        <w:rPr>
          <w:rFonts w:ascii="Arial" w:hAnsi="Arial" w:cs="Arial"/>
          <w:i w:val="0"/>
        </w:rPr>
        <w:t xml:space="preserve">efektetés moduljában </w:t>
      </w:r>
      <w:r w:rsidR="006D6CB2">
        <w:rPr>
          <w:rFonts w:ascii="Arial" w:hAnsi="Arial" w:cs="Arial"/>
          <w:i w:val="0"/>
        </w:rPr>
        <w:t>elérhető</w:t>
      </w:r>
      <w:r>
        <w:rPr>
          <w:rFonts w:ascii="Arial" w:hAnsi="Arial" w:cs="Arial"/>
          <w:i w:val="0"/>
        </w:rPr>
        <w:t xml:space="preserve"> értékpapír megbízások</w:t>
      </w:r>
      <w:r w:rsidR="00BD38BC">
        <w:rPr>
          <w:rFonts w:ascii="Arial" w:hAnsi="Arial" w:cs="Arial"/>
          <w:i w:val="0"/>
        </w:rPr>
        <w:t>ra vonatkozó</w:t>
      </w:r>
      <w:r w:rsidR="006F20A2">
        <w:rPr>
          <w:rFonts w:ascii="Arial" w:hAnsi="Arial" w:cs="Arial"/>
          <w:i w:val="0"/>
        </w:rPr>
        <w:t xml:space="preserve"> részletes</w:t>
      </w:r>
      <w:r w:rsidR="00BD38BC">
        <w:rPr>
          <w:rFonts w:ascii="Arial" w:hAnsi="Arial" w:cs="Arial"/>
          <w:i w:val="0"/>
        </w:rPr>
        <w:t xml:space="preserve"> információk</w:t>
      </w:r>
      <w:r w:rsidR="003561F8">
        <w:rPr>
          <w:rFonts w:ascii="Arial" w:hAnsi="Arial" w:cs="Arial"/>
          <w:i w:val="0"/>
        </w:rPr>
        <w:t>at</w:t>
      </w:r>
      <w:r w:rsidR="00406294">
        <w:rPr>
          <w:rFonts w:ascii="Arial" w:hAnsi="Arial" w:cs="Arial"/>
          <w:i w:val="0"/>
        </w:rPr>
        <w:t xml:space="preserve"> </w:t>
      </w:r>
      <w:r w:rsidR="002A1D5B">
        <w:rPr>
          <w:rFonts w:ascii="Arial" w:hAnsi="Arial" w:cs="Arial"/>
          <w:i w:val="0"/>
        </w:rPr>
        <w:t>a</w:t>
      </w:r>
      <w:r w:rsidR="004575AF">
        <w:rPr>
          <w:rFonts w:ascii="Arial" w:hAnsi="Arial" w:cs="Arial"/>
          <w:i w:val="0"/>
        </w:rPr>
        <w:t xml:space="preserve"> Bank honlapján</w:t>
      </w:r>
      <w:r w:rsidR="00BD38BC">
        <w:rPr>
          <w:rFonts w:ascii="Arial" w:hAnsi="Arial" w:cs="Arial"/>
          <w:i w:val="0"/>
        </w:rPr>
        <w:t>,</w:t>
      </w:r>
      <w:r w:rsidR="004575AF">
        <w:rPr>
          <w:rFonts w:ascii="Arial" w:hAnsi="Arial" w:cs="Arial"/>
          <w:i w:val="0"/>
        </w:rPr>
        <w:t xml:space="preserve"> </w:t>
      </w:r>
      <w:r w:rsidR="00E0046C">
        <w:rPr>
          <w:rFonts w:ascii="Arial" w:hAnsi="Arial" w:cs="Arial"/>
          <w:i w:val="0"/>
        </w:rPr>
        <w:t xml:space="preserve">az </w:t>
      </w:r>
      <w:r w:rsidR="004575AF" w:rsidRPr="00342227">
        <w:rPr>
          <w:rFonts w:ascii="Arial" w:hAnsi="Arial" w:cs="Arial"/>
          <w:i w:val="0"/>
        </w:rPr>
        <w:t>mBanking</w:t>
      </w:r>
      <w:r w:rsidR="004575AF" w:rsidRPr="002D45DA">
        <w:rPr>
          <w:rFonts w:ascii="Arial" w:hAnsi="Arial" w:cs="Arial"/>
          <w:b/>
          <w:bCs/>
          <w:i w:val="0"/>
        </w:rPr>
        <w:t xml:space="preserve"> </w:t>
      </w:r>
      <w:r w:rsidR="00342227">
        <w:rPr>
          <w:rFonts w:ascii="Arial" w:hAnsi="Arial" w:cs="Arial"/>
          <w:b/>
          <w:bCs/>
          <w:i w:val="0"/>
        </w:rPr>
        <w:t>„H</w:t>
      </w:r>
      <w:r w:rsidR="004575AF" w:rsidRPr="002D45DA">
        <w:rPr>
          <w:rFonts w:ascii="Arial" w:hAnsi="Arial" w:cs="Arial"/>
          <w:b/>
          <w:bCs/>
          <w:i w:val="0"/>
        </w:rPr>
        <w:t>asználati útmutató</w:t>
      </w:r>
      <w:r w:rsidRPr="002D45DA">
        <w:rPr>
          <w:rFonts w:ascii="Arial" w:hAnsi="Arial" w:cs="Arial"/>
          <w:b/>
          <w:bCs/>
          <w:i w:val="0"/>
        </w:rPr>
        <w:t xml:space="preserve"> a </w:t>
      </w:r>
      <w:r w:rsidR="00342227">
        <w:rPr>
          <w:rFonts w:ascii="Arial" w:hAnsi="Arial" w:cs="Arial"/>
          <w:b/>
          <w:bCs/>
          <w:i w:val="0"/>
        </w:rPr>
        <w:t>B</w:t>
      </w:r>
      <w:r w:rsidRPr="002D45DA">
        <w:rPr>
          <w:rFonts w:ascii="Arial" w:hAnsi="Arial" w:cs="Arial"/>
          <w:b/>
          <w:bCs/>
          <w:i w:val="0"/>
        </w:rPr>
        <w:t>efektetés funkcióhoz</w:t>
      </w:r>
      <w:r w:rsidR="002A1D5B">
        <w:rPr>
          <w:rFonts w:ascii="Arial" w:hAnsi="Arial" w:cs="Arial"/>
          <w:i w:val="0"/>
        </w:rPr>
        <w:t xml:space="preserve">” </w:t>
      </w:r>
      <w:r w:rsidR="00F87558">
        <w:rPr>
          <w:rFonts w:ascii="Arial" w:hAnsi="Arial" w:cs="Arial"/>
          <w:i w:val="0"/>
        </w:rPr>
        <w:t xml:space="preserve">(a továbbiakban: Használati útmutató) </w:t>
      </w:r>
      <w:r w:rsidR="002A1D5B">
        <w:rPr>
          <w:rFonts w:ascii="Arial" w:hAnsi="Arial" w:cs="Arial"/>
          <w:i w:val="0"/>
        </w:rPr>
        <w:t>elnevezésű aloldalon</w:t>
      </w:r>
      <w:r w:rsidR="00813F7A">
        <w:rPr>
          <w:rFonts w:ascii="Arial" w:hAnsi="Arial" w:cs="Arial"/>
          <w:i w:val="0"/>
        </w:rPr>
        <w:t xml:space="preserve"> </w:t>
      </w:r>
      <w:r w:rsidR="000F31D5">
        <w:rPr>
          <w:rFonts w:ascii="Arial" w:hAnsi="Arial" w:cs="Arial"/>
          <w:i w:val="0"/>
        </w:rPr>
        <w:t>teszi közzé.</w:t>
      </w:r>
      <w:r w:rsidR="002A1D5B">
        <w:rPr>
          <w:rFonts w:ascii="Arial" w:hAnsi="Arial" w:cs="Arial"/>
          <w:i w:val="0"/>
        </w:rPr>
        <w:t xml:space="preserve"> </w:t>
      </w:r>
      <w:r w:rsidR="00F87558">
        <w:rPr>
          <w:rFonts w:ascii="Arial" w:hAnsi="Arial" w:cs="Arial"/>
          <w:i w:val="0"/>
        </w:rPr>
        <w:t>A Használati útmutatóban foglalt korlátok és a NYESZ Szerződés 1. számú mellékletében felsorolt pénzügyi eszközök közül a Bank mindig a szűkebben értelmezett pénzügyi eszközt biztosítja az mBanking szolgáltatáson keresztül.</w:t>
      </w:r>
    </w:p>
    <w:p w14:paraId="41F6F2A4" w14:textId="77777777" w:rsidR="00074AF0" w:rsidRPr="009F725F" w:rsidRDefault="00074AF0" w:rsidP="00D07642">
      <w:pPr>
        <w:pStyle w:val="BodyText"/>
        <w:ind w:left="360"/>
        <w:jc w:val="left"/>
        <w:rPr>
          <w:rFonts w:ascii="Arial" w:hAnsi="Arial" w:cs="Arial"/>
          <w:i w:val="0"/>
        </w:rPr>
      </w:pPr>
    </w:p>
    <w:p w14:paraId="4A71CB24" w14:textId="77777777" w:rsidR="00D07642" w:rsidRPr="009F725F" w:rsidRDefault="00D07642" w:rsidP="00D07642">
      <w:pPr>
        <w:pStyle w:val="BodyText"/>
        <w:ind w:left="360"/>
        <w:jc w:val="left"/>
        <w:rPr>
          <w:rFonts w:ascii="Arial" w:hAnsi="Arial" w:cs="Arial"/>
        </w:rPr>
      </w:pPr>
    </w:p>
    <w:p w14:paraId="0A8B0E8F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Díjak, költségek</w:t>
      </w:r>
    </w:p>
    <w:p w14:paraId="13BA2C57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6843B568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Ügyfél tudomásul veszi, hogy a Nyugdíj-előtakarékossági számlák vezetéséért a Bank a mindenkori hatályos Kondíciós listájában meghatározott mértékű díjat számít fel. </w:t>
      </w:r>
    </w:p>
    <w:p w14:paraId="089352A4" w14:textId="77777777" w:rsidR="00C07686" w:rsidRPr="009F725F" w:rsidRDefault="00C07686">
      <w:pPr>
        <w:pStyle w:val="BodyText"/>
        <w:rPr>
          <w:rFonts w:ascii="Arial" w:hAnsi="Arial" w:cs="Arial"/>
        </w:rPr>
      </w:pPr>
      <w:r w:rsidRPr="009F725F">
        <w:rPr>
          <w:rFonts w:ascii="Arial" w:hAnsi="Arial" w:cs="Arial"/>
        </w:rPr>
        <w:tab/>
      </w:r>
    </w:p>
    <w:p w14:paraId="16D61AB9" w14:textId="76358A3E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Ügyfél továbbá tudomásul veszi, hogy az Ügyfél által a</w:t>
      </w:r>
      <w:r w:rsidR="00A1224F">
        <w:rPr>
          <w:rFonts w:ascii="Arial" w:hAnsi="Arial" w:cs="Arial"/>
          <w:sz w:val="20"/>
        </w:rPr>
        <w:t>z I.</w:t>
      </w:r>
      <w:r w:rsidRPr="009F725F">
        <w:rPr>
          <w:rFonts w:ascii="Arial" w:hAnsi="Arial" w:cs="Arial"/>
          <w:sz w:val="20"/>
        </w:rPr>
        <w:t xml:space="preserve"> (1) megjelölésű Nyugdíj pénzszámlára történő </w:t>
      </w:r>
      <w:r w:rsidR="00D22EE2">
        <w:rPr>
          <w:rFonts w:ascii="Arial" w:hAnsi="Arial" w:cs="Arial"/>
          <w:sz w:val="20"/>
        </w:rPr>
        <w:t>I</w:t>
      </w:r>
      <w:r w:rsidRPr="009F725F">
        <w:rPr>
          <w:rFonts w:ascii="Arial" w:hAnsi="Arial" w:cs="Arial"/>
          <w:sz w:val="20"/>
        </w:rPr>
        <w:t xml:space="preserve">.a) pont szerinti bármely készpénz befizetést vagy átutalást követő, az adott készpénzbefizetés vagy átutalás összege - de legfeljebb a számlaegyenleg - erejéig az adott </w:t>
      </w:r>
      <w:r w:rsidR="00A1224F">
        <w:rPr>
          <w:rFonts w:ascii="Arial" w:hAnsi="Arial" w:cs="Arial"/>
          <w:sz w:val="20"/>
        </w:rPr>
        <w:t>[</w:t>
      </w:r>
      <w:r w:rsidRPr="009F725F">
        <w:rPr>
          <w:rFonts w:ascii="Arial" w:hAnsi="Arial" w:cs="Arial"/>
          <w:sz w:val="20"/>
        </w:rPr>
        <w:t>azaz a</w:t>
      </w:r>
      <w:r w:rsidR="00A1224F">
        <w:rPr>
          <w:rFonts w:ascii="Arial" w:hAnsi="Arial" w:cs="Arial"/>
          <w:sz w:val="20"/>
        </w:rPr>
        <w:t>z</w:t>
      </w:r>
      <w:r w:rsidRPr="009F725F">
        <w:rPr>
          <w:rFonts w:ascii="Arial" w:hAnsi="Arial" w:cs="Arial"/>
          <w:sz w:val="20"/>
        </w:rPr>
        <w:t xml:space="preserve"> </w:t>
      </w:r>
      <w:r w:rsidR="00A1224F">
        <w:rPr>
          <w:rFonts w:ascii="Arial" w:hAnsi="Arial" w:cs="Arial"/>
          <w:sz w:val="20"/>
        </w:rPr>
        <w:t xml:space="preserve">I. </w:t>
      </w:r>
      <w:r w:rsidRPr="009F725F">
        <w:rPr>
          <w:rFonts w:ascii="Arial" w:hAnsi="Arial" w:cs="Arial"/>
          <w:sz w:val="20"/>
        </w:rPr>
        <w:t>(1) megjelölésű</w:t>
      </w:r>
      <w:r w:rsidR="00A1224F">
        <w:rPr>
          <w:rFonts w:ascii="Arial" w:hAnsi="Arial" w:cs="Arial"/>
          <w:sz w:val="20"/>
        </w:rPr>
        <w:t>]</w:t>
      </w:r>
      <w:r w:rsidRPr="009F725F">
        <w:rPr>
          <w:rFonts w:ascii="Arial" w:hAnsi="Arial" w:cs="Arial"/>
          <w:sz w:val="20"/>
        </w:rPr>
        <w:t xml:space="preserve"> Nyugdíj pénzszámla terhére adott, a 1. sz. mellékletben felsorolt befektetési eszközök vételére vonatkozó megbízások díjmentesek. </w:t>
      </w:r>
    </w:p>
    <w:p w14:paraId="2ECBE713" w14:textId="77777777" w:rsidR="00C07686" w:rsidRPr="009F725F" w:rsidRDefault="00C07686">
      <w:pPr>
        <w:pStyle w:val="BodyText"/>
        <w:rPr>
          <w:rFonts w:ascii="Arial" w:hAnsi="Arial" w:cs="Arial"/>
        </w:rPr>
      </w:pPr>
      <w:r w:rsidRPr="009F725F">
        <w:rPr>
          <w:rFonts w:ascii="Arial" w:hAnsi="Arial" w:cs="Arial"/>
        </w:rPr>
        <w:tab/>
      </w:r>
    </w:p>
    <w:p w14:paraId="5F6CA2C3" w14:textId="77777777" w:rsidR="00C07686" w:rsidRPr="005F24A8" w:rsidRDefault="005F24A8" w:rsidP="005F24A8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 jelen Szerződésben nem szabályozott esetekben az Ügyfél a Bank által a mindenkori hatályos, Nyugdíj-előtakarékossági számlák vezetésére vonatkozó Kondíciós Listában meghatározott mértékű díjakat és költségeket köteles megfizetni</w:t>
      </w:r>
      <w:r>
        <w:rPr>
          <w:rFonts w:ascii="Arial" w:hAnsi="Arial" w:cs="Arial"/>
          <w:sz w:val="20"/>
        </w:rPr>
        <w:t>.</w:t>
      </w:r>
      <w:r w:rsidRPr="006675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Pr="006675DE">
        <w:rPr>
          <w:rFonts w:ascii="Arial" w:hAnsi="Arial" w:cs="Arial"/>
          <w:sz w:val="20"/>
        </w:rPr>
        <w:t>z Ügyfél kijelenti, hogy ezen díjakról és költségekről a Bank tájékoztatta</w:t>
      </w:r>
      <w:r w:rsidRPr="009F725F">
        <w:rPr>
          <w:rFonts w:ascii="Arial" w:hAnsi="Arial" w:cs="Arial"/>
          <w:sz w:val="20"/>
        </w:rPr>
        <w:t>.</w:t>
      </w:r>
    </w:p>
    <w:p w14:paraId="65ACEB07" w14:textId="77777777" w:rsidR="00C07686" w:rsidRPr="009F725F" w:rsidRDefault="00C07686">
      <w:pPr>
        <w:pStyle w:val="BodyText"/>
        <w:rPr>
          <w:rFonts w:ascii="Arial" w:hAnsi="Arial" w:cs="Arial"/>
        </w:rPr>
      </w:pPr>
      <w:r w:rsidRPr="009F725F">
        <w:rPr>
          <w:rFonts w:ascii="Arial" w:hAnsi="Arial" w:cs="Arial"/>
        </w:rPr>
        <w:tab/>
      </w:r>
    </w:p>
    <w:p w14:paraId="35C163BB" w14:textId="7EA39A91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Az Ügyfél kötelezettséget vállal arra, hogy a díj(ak) megfizetésére az(ok) esedékességekor a Nyugdíj pénzszámlákon fedezetet biztosít. Felek megállapodnak abban, hogy a Bank jogosult az Ügyfél által a Nyugdíj-előtakarékossági számlák vezetésével kapcsolatos Banknak járó díjakkal és egyéb költségekkel elsősorban a</w:t>
      </w:r>
      <w:r w:rsidR="00972C5C">
        <w:rPr>
          <w:rFonts w:ascii="Arial" w:hAnsi="Arial" w:cs="Arial"/>
          <w:sz w:val="20"/>
        </w:rPr>
        <w:t>z I.</w:t>
      </w:r>
      <w:r w:rsidRPr="009F725F">
        <w:rPr>
          <w:rFonts w:ascii="Arial" w:hAnsi="Arial" w:cs="Arial"/>
          <w:sz w:val="20"/>
        </w:rPr>
        <w:t xml:space="preserve"> (2) megjelölésű, másodsorban pedig a</w:t>
      </w:r>
      <w:r w:rsidR="00972C5C">
        <w:rPr>
          <w:rFonts w:ascii="Arial" w:hAnsi="Arial" w:cs="Arial"/>
          <w:sz w:val="20"/>
        </w:rPr>
        <w:t>z I.</w:t>
      </w:r>
      <w:r w:rsidRPr="009F725F">
        <w:rPr>
          <w:rFonts w:ascii="Arial" w:hAnsi="Arial" w:cs="Arial"/>
          <w:sz w:val="20"/>
        </w:rPr>
        <w:t xml:space="preserve"> (1) megjelölésű Nyugdíj pénzszámlát</w:t>
      </w:r>
      <w:r w:rsidR="00972C5C">
        <w:rPr>
          <w:rFonts w:ascii="Arial" w:hAnsi="Arial" w:cs="Arial"/>
          <w:sz w:val="20"/>
        </w:rPr>
        <w:t>,</w:t>
      </w:r>
      <w:r w:rsidRPr="009F725F">
        <w:rPr>
          <w:rFonts w:ascii="Arial" w:hAnsi="Arial" w:cs="Arial"/>
          <w:i/>
          <w:iCs/>
          <w:sz w:val="20"/>
        </w:rPr>
        <w:t xml:space="preserve"> </w:t>
      </w:r>
      <w:r w:rsidRPr="009F725F">
        <w:rPr>
          <w:rFonts w:ascii="Arial" w:hAnsi="Arial" w:cs="Arial"/>
          <w:sz w:val="20"/>
        </w:rPr>
        <w:t>illetve az Ügyfél Banknál vezetett bármely bankszámláját megterhelni.</w:t>
      </w:r>
    </w:p>
    <w:p w14:paraId="571BBDE5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5E50E689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Ügyfél tudomásul veszi, hogy amennyiben az e Szerződésből eredő bármely fizetési kötelezettségének határidőben nem tesz eleget, úgy a Bank a lejárt tartozások után az esedékesség napjától a kiegyenlítés időpontjáig terjedő időre a késedelem időpontjában hatályos Kondíciós Listában meghatározott mértékű késedelmi kamatot számít fel.</w:t>
      </w:r>
    </w:p>
    <w:p w14:paraId="60A908A2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4FBD1A26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A Nyugdíj-előtakarékossági számlák megszűnése</w:t>
      </w:r>
    </w:p>
    <w:p w14:paraId="24A101D7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4FD06D5F" w14:textId="7F056C6C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 jelen Szerződést bármely fél kizárólag írásban jogosult felmondani. A Nyugdíj-előtakarékossági számlák vagy azok bármelyikének kimerülése jelen Szerződést nem szünteti meg.</w:t>
      </w:r>
    </w:p>
    <w:p w14:paraId="0A00AE4E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572BA32D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Az Ügyfél a Nyugdíj-előtakarékossági számlákat kizárólag együtt, bármikor jogosult határidő nélkül felmondani, azonban köteles:</w:t>
      </w:r>
    </w:p>
    <w:p w14:paraId="401FE212" w14:textId="77D6D928" w:rsidR="00C07686" w:rsidRPr="009F725F" w:rsidRDefault="00C07686">
      <w:pPr>
        <w:pStyle w:val="Header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 Nyugdíj-előtakarékossági számlákon nyilvántartott értékpapír-</w:t>
      </w:r>
      <w:r w:rsidR="00E0437F">
        <w:rPr>
          <w:rFonts w:ascii="Arial" w:hAnsi="Arial" w:cs="Arial"/>
          <w:sz w:val="20"/>
        </w:rPr>
        <w:t>,</w:t>
      </w:r>
      <w:r w:rsidRPr="009F725F">
        <w:rPr>
          <w:rFonts w:ascii="Arial" w:hAnsi="Arial" w:cs="Arial"/>
          <w:sz w:val="20"/>
        </w:rPr>
        <w:t xml:space="preserve"> valamint pénzeszközöknek az általa meghatározott másik számlavezető által vezetett nyugdíj-előtakarékossági számlákra történő transzferálását, vagy</w:t>
      </w:r>
    </w:p>
    <w:p w14:paraId="22309585" w14:textId="0E1D6DD6" w:rsidR="00C07686" w:rsidRPr="009F725F" w:rsidRDefault="00C07686">
      <w:pPr>
        <w:pStyle w:val="Header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a </w:t>
      </w:r>
      <w:r w:rsidR="00AE3654" w:rsidRPr="009F725F">
        <w:rPr>
          <w:rFonts w:ascii="Arial" w:hAnsi="Arial" w:cs="Arial"/>
          <w:sz w:val="20"/>
        </w:rPr>
        <w:t>N</w:t>
      </w:r>
      <w:r w:rsidRPr="009F725F">
        <w:rPr>
          <w:rFonts w:ascii="Arial" w:hAnsi="Arial" w:cs="Arial"/>
          <w:sz w:val="20"/>
        </w:rPr>
        <w:t>yugdíj-előtakarékossági összevont értékpapírszámlán nyilvántartott értékpapíroknak az általa meghatározott időpontban történő értékesítését és ezt – azaz az értékesítést és az abból befolyó ellenértéknek a (2) megjelölésű Nyugdíj pénzszámlán történt jóváírását - követően a Nyugdíj pénzszámlákon nyilvántartott pénzeszközöknek a kifizetését, vagy</w:t>
      </w:r>
    </w:p>
    <w:p w14:paraId="3CE4E602" w14:textId="77777777" w:rsidR="00C07686" w:rsidRPr="009F725F" w:rsidRDefault="00C07686">
      <w:pPr>
        <w:pStyle w:val="Header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 Nyugdíj-előtakarékossági számlák összevont értékpapírszámlává és bankszámlává történő átalakítását, vagy</w:t>
      </w:r>
    </w:p>
    <w:p w14:paraId="3458BAA3" w14:textId="633A2798" w:rsidR="00C07686" w:rsidRPr="009F725F" w:rsidRDefault="00C07686">
      <w:pPr>
        <w:pStyle w:val="Header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 Nyugdíj-előtakarékossági számlákon nyilvántartott értékpapír-</w:t>
      </w:r>
      <w:r w:rsidR="00E0437F">
        <w:rPr>
          <w:rFonts w:ascii="Arial" w:hAnsi="Arial" w:cs="Arial"/>
          <w:sz w:val="20"/>
        </w:rPr>
        <w:t>,</w:t>
      </w:r>
      <w:r w:rsidRPr="009F725F">
        <w:rPr>
          <w:rFonts w:ascii="Arial" w:hAnsi="Arial" w:cs="Arial"/>
          <w:sz w:val="20"/>
        </w:rPr>
        <w:t xml:space="preserve"> valamint pénzeszközöknek a Banknál vagy más számlavezetőnél vezetett értékpapír-</w:t>
      </w:r>
      <w:r w:rsidR="00E0437F">
        <w:rPr>
          <w:rFonts w:ascii="Arial" w:hAnsi="Arial" w:cs="Arial"/>
          <w:sz w:val="20"/>
        </w:rPr>
        <w:t>,</w:t>
      </w:r>
      <w:r w:rsidRPr="009F725F">
        <w:rPr>
          <w:rFonts w:ascii="Arial" w:hAnsi="Arial" w:cs="Arial"/>
          <w:sz w:val="20"/>
        </w:rPr>
        <w:t xml:space="preserve"> illetve pénzszámlára történő átvezetését</w:t>
      </w:r>
    </w:p>
    <w:p w14:paraId="4AFCC5DF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ab/>
      </w:r>
      <w:r w:rsidR="00E83A40" w:rsidRPr="009F725F">
        <w:rPr>
          <w:rFonts w:ascii="Arial" w:hAnsi="Arial" w:cs="Arial"/>
          <w:sz w:val="20"/>
        </w:rPr>
        <w:tab/>
      </w:r>
      <w:r w:rsidRPr="009F725F">
        <w:rPr>
          <w:rFonts w:ascii="Arial" w:hAnsi="Arial" w:cs="Arial"/>
          <w:sz w:val="20"/>
        </w:rPr>
        <w:t>kérni.</w:t>
      </w:r>
    </w:p>
    <w:p w14:paraId="5E3FE0DD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53A26ADB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Amennyiben a Nyugdíj pénzszámlákon nyilvántartott pénzeszközök nem nyújtanak fedezetet az Ügyfél jelen Szerződésben foglalt kötelezettségei teljesítésére, és az Ügyfél ezen kötelezettségeinek a Bank írásbeli felszólításának kézhezvételét követő 15 napon belül sem tesz eleget, a Bank jogosult a Szerződést azonnali hatállyal felmondani.</w:t>
      </w:r>
    </w:p>
    <w:p w14:paraId="18EA34F8" w14:textId="449FB42F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Bármelyik fél jogosult az V-VI</w:t>
      </w:r>
      <w:r w:rsidR="00543366">
        <w:rPr>
          <w:rFonts w:ascii="Arial" w:hAnsi="Arial" w:cs="Arial"/>
          <w:sz w:val="20"/>
        </w:rPr>
        <w:t>I</w:t>
      </w:r>
      <w:r w:rsidRPr="009F725F">
        <w:rPr>
          <w:rFonts w:ascii="Arial" w:hAnsi="Arial" w:cs="Arial"/>
          <w:sz w:val="20"/>
        </w:rPr>
        <w:t xml:space="preserve">. pontban meghatározott egyes szolgáltatások igénybevételére vonatkozó szerződési feltételeket külön-külön, vagy együttesen írásban 15 napos határidővel indoklás nélkül felmondani. Az egyes, előzőekben hivatkozott banki szolgáltatásokra vonatkozó szerződési feltételek </w:t>
      </w:r>
      <w:r w:rsidRPr="009F725F">
        <w:rPr>
          <w:rFonts w:ascii="Arial" w:hAnsi="Arial" w:cs="Arial"/>
          <w:sz w:val="20"/>
        </w:rPr>
        <w:lastRenderedPageBreak/>
        <w:t xml:space="preserve">bármely okból történő megszűnése nem érinti a többi, a Nyugdíj-előtakarékossági számlákra vonatkozó szerződéses feltétel hatályát. Ügyfél tudomásul veszi, hogy a Nyugdíj-előtakarékossági számlák bármely okból történő megszűnése esetén az ezekhez kapcsolódóan általa igénybe vett és jelen Szerződésben szabályozott banki szolgáltatásokra vonatkozó megállapodás, minden további intézkedés nélkül automatikusan és a jelen Szerződés megszűnésével egyidejűleg hatályát veszti. </w:t>
      </w:r>
    </w:p>
    <w:p w14:paraId="6BFEC6AA" w14:textId="77777777" w:rsidR="00C07686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281846EB" w14:textId="77777777" w:rsidR="001C5C6E" w:rsidRPr="001E5E77" w:rsidRDefault="004C268A" w:rsidP="001E5E77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eastAsia="hu-HU"/>
        </w:rPr>
      </w:pPr>
      <w:r w:rsidRPr="001E5E77">
        <w:rPr>
          <w:rFonts w:ascii="Arial" w:hAnsi="Arial" w:cs="Arial"/>
          <w:lang w:eastAsia="hu-HU"/>
        </w:rPr>
        <w:t>Amennyiben a</w:t>
      </w:r>
      <w:r w:rsidR="002557C2" w:rsidRPr="001E5E77">
        <w:rPr>
          <w:rFonts w:ascii="Arial" w:hAnsi="Arial" w:cs="Arial"/>
          <w:lang w:eastAsia="hu-HU"/>
        </w:rPr>
        <w:t xml:space="preserve">z Ügyfél </w:t>
      </w:r>
      <w:r w:rsidR="00C00B53" w:rsidRPr="001E5E77">
        <w:rPr>
          <w:rFonts w:ascii="Arial" w:hAnsi="Arial" w:cs="Arial"/>
          <w:lang w:eastAsia="hu-HU"/>
        </w:rPr>
        <w:t>N</w:t>
      </w:r>
      <w:r w:rsidR="00513C47" w:rsidRPr="001E5E77">
        <w:rPr>
          <w:rFonts w:ascii="Arial" w:hAnsi="Arial" w:cs="Arial"/>
          <w:lang w:eastAsia="hu-HU"/>
        </w:rPr>
        <w:t>yugdíj-előtakarékossági számlá</w:t>
      </w:r>
      <w:r w:rsidR="00C00B53" w:rsidRPr="001E5E77">
        <w:rPr>
          <w:rFonts w:ascii="Arial" w:hAnsi="Arial" w:cs="Arial"/>
          <w:lang w:eastAsia="hu-HU"/>
        </w:rPr>
        <w:t xml:space="preserve">ról </w:t>
      </w:r>
      <w:r w:rsidR="002557C2" w:rsidRPr="001E5E77">
        <w:rPr>
          <w:rFonts w:ascii="Arial" w:hAnsi="Arial" w:cs="Arial"/>
          <w:lang w:eastAsia="hu-HU"/>
        </w:rPr>
        <w:t xml:space="preserve">a Nyesz tv. szerint nyugdíjszolgáltatásnak nem minősülő kifizetésről, átutalásról, átvezetésről rendelkezik, ideértve azt az esetet, ha </w:t>
      </w:r>
      <w:r w:rsidR="00F84075" w:rsidRPr="001E5E77">
        <w:rPr>
          <w:rFonts w:ascii="Arial" w:hAnsi="Arial" w:cs="Arial"/>
          <w:lang w:eastAsia="hu-HU"/>
        </w:rPr>
        <w:t xml:space="preserve">a </w:t>
      </w:r>
      <w:r w:rsidRPr="001E5E77">
        <w:rPr>
          <w:rFonts w:ascii="Arial" w:hAnsi="Arial" w:cs="Arial"/>
          <w:lang w:eastAsia="hu-HU"/>
        </w:rPr>
        <w:t>Nyugdíj-előtakarékossági</w:t>
      </w:r>
      <w:r w:rsidR="001C5C6E" w:rsidRPr="001E5E77">
        <w:rPr>
          <w:rFonts w:ascii="Arial" w:hAnsi="Arial" w:cs="Arial"/>
          <w:lang w:eastAsia="hu-HU"/>
        </w:rPr>
        <w:t xml:space="preserve"> számlát az Ügyfél felmondja a számlanyitás</w:t>
      </w:r>
      <w:r w:rsidR="002557C2" w:rsidRPr="001E5E77">
        <w:rPr>
          <w:rFonts w:ascii="Arial" w:hAnsi="Arial" w:cs="Arial"/>
          <w:lang w:eastAsia="hu-HU"/>
        </w:rPr>
        <w:t xml:space="preserve"> adóévét </w:t>
      </w:r>
      <w:r w:rsidR="001C5C6E" w:rsidRPr="001E5E77">
        <w:rPr>
          <w:rFonts w:ascii="Arial" w:hAnsi="Arial" w:cs="Arial"/>
          <w:lang w:eastAsia="hu-HU"/>
        </w:rPr>
        <w:t xml:space="preserve">követő </w:t>
      </w:r>
      <w:r w:rsidR="003E434F">
        <w:rPr>
          <w:rFonts w:ascii="Arial" w:hAnsi="Arial" w:cs="Arial"/>
          <w:lang w:eastAsia="hu-HU"/>
        </w:rPr>
        <w:t>tizedik</w:t>
      </w:r>
      <w:r w:rsidR="001C5C6E" w:rsidRPr="001E5E77">
        <w:rPr>
          <w:rFonts w:ascii="Arial" w:hAnsi="Arial" w:cs="Arial"/>
          <w:lang w:eastAsia="hu-HU"/>
        </w:rPr>
        <w:t xml:space="preserve"> adóév</w:t>
      </w:r>
      <w:r w:rsidR="002557C2" w:rsidRPr="001E5E77">
        <w:rPr>
          <w:rFonts w:ascii="Arial" w:hAnsi="Arial" w:cs="Arial"/>
          <w:lang w:eastAsia="hu-HU"/>
        </w:rPr>
        <w:t>et megelőző</w:t>
      </w:r>
      <w:r w:rsidR="00C00B53" w:rsidRPr="001E5E77">
        <w:rPr>
          <w:rFonts w:ascii="Arial" w:hAnsi="Arial" w:cs="Arial"/>
          <w:lang w:eastAsia="hu-HU"/>
        </w:rPr>
        <w:t xml:space="preserve"> </w:t>
      </w:r>
      <w:r w:rsidR="003E4BD1" w:rsidRPr="001E5E77">
        <w:rPr>
          <w:rFonts w:ascii="Arial" w:hAnsi="Arial" w:cs="Arial"/>
          <w:lang w:eastAsia="hu-HU"/>
        </w:rPr>
        <w:t>adó</w:t>
      </w:r>
      <w:r w:rsidR="002557C2" w:rsidRPr="001E5E77">
        <w:rPr>
          <w:rFonts w:ascii="Arial" w:hAnsi="Arial" w:cs="Arial"/>
          <w:lang w:eastAsia="hu-HU"/>
        </w:rPr>
        <w:t>években</w:t>
      </w:r>
      <w:r w:rsidR="001C5C6E" w:rsidRPr="001E5E77">
        <w:rPr>
          <w:rFonts w:ascii="Arial" w:hAnsi="Arial" w:cs="Arial"/>
          <w:lang w:eastAsia="hu-HU"/>
        </w:rPr>
        <w:t>, illetve ha az Ügyfél a felmondás időpontjában még nem jogosult az S</w:t>
      </w:r>
      <w:r w:rsidR="00513C47" w:rsidRPr="001E5E77">
        <w:rPr>
          <w:rFonts w:ascii="Arial" w:hAnsi="Arial" w:cs="Arial"/>
          <w:lang w:eastAsia="hu-HU"/>
        </w:rPr>
        <w:t xml:space="preserve">zja </w:t>
      </w:r>
      <w:r w:rsidR="001C5C6E" w:rsidRPr="001E5E77">
        <w:rPr>
          <w:rFonts w:ascii="Arial" w:hAnsi="Arial" w:cs="Arial"/>
          <w:lang w:eastAsia="hu-HU"/>
        </w:rPr>
        <w:t>tv. 3. §-ának 23. pontjában meghatározott nyugdíjra, akkor a UniCredit Bank Hungary Zrt. által a N</w:t>
      </w:r>
      <w:r w:rsidRPr="001E5E77">
        <w:rPr>
          <w:rFonts w:ascii="Arial" w:hAnsi="Arial" w:cs="Arial"/>
          <w:lang w:eastAsia="hu-HU"/>
        </w:rPr>
        <w:t>yugdíj-előtakarékossági</w:t>
      </w:r>
      <w:r w:rsidR="001C5C6E" w:rsidRPr="001E5E77">
        <w:rPr>
          <w:rFonts w:ascii="Arial" w:hAnsi="Arial" w:cs="Arial"/>
          <w:lang w:eastAsia="hu-HU"/>
        </w:rPr>
        <w:t xml:space="preserve"> számlán - szokásos piaci értéken - kimutatott követelés </w:t>
      </w:r>
      <w:r w:rsidR="001C5C6E" w:rsidRPr="001E5E77">
        <w:rPr>
          <w:rFonts w:ascii="Arial" w:hAnsi="Arial" w:cs="Arial"/>
          <w:bCs/>
          <w:lang w:eastAsia="hu-HU"/>
        </w:rPr>
        <w:t xml:space="preserve">azon része, amely meghaladja az Ügyfél által </w:t>
      </w:r>
      <w:r w:rsidR="00513C47" w:rsidRPr="001E5E77">
        <w:rPr>
          <w:rFonts w:ascii="Arial" w:hAnsi="Arial" w:cs="Arial"/>
          <w:bCs/>
          <w:lang w:eastAsia="hu-HU"/>
        </w:rPr>
        <w:t>(nyilvántartott adózott követelésállomány esetén an</w:t>
      </w:r>
      <w:r w:rsidR="00421E56" w:rsidRPr="001E5E77">
        <w:rPr>
          <w:rFonts w:ascii="Arial" w:hAnsi="Arial" w:cs="Arial"/>
          <w:bCs/>
          <w:lang w:eastAsia="hu-HU"/>
        </w:rPr>
        <w:t>nak nyilvántartásba vételét köv</w:t>
      </w:r>
      <w:r w:rsidR="00513C47" w:rsidRPr="001E5E77">
        <w:rPr>
          <w:rFonts w:ascii="Arial" w:hAnsi="Arial" w:cs="Arial"/>
          <w:bCs/>
          <w:lang w:eastAsia="hu-HU"/>
        </w:rPr>
        <w:t xml:space="preserve">etően) </w:t>
      </w:r>
      <w:r w:rsidR="001C5C6E" w:rsidRPr="001E5E77">
        <w:rPr>
          <w:rFonts w:ascii="Arial" w:hAnsi="Arial" w:cs="Arial"/>
          <w:bCs/>
          <w:lang w:eastAsia="hu-HU"/>
        </w:rPr>
        <w:t xml:space="preserve">teljesített befizetések és átutalások, az osztalékból származó jövedelmek, a már jóváírt </w:t>
      </w:r>
      <w:r w:rsidR="00F84075" w:rsidRPr="001E5E77">
        <w:rPr>
          <w:rFonts w:ascii="Arial" w:hAnsi="Arial" w:cs="Arial"/>
          <w:bCs/>
          <w:lang w:eastAsia="hu-HU"/>
        </w:rPr>
        <w:t>E</w:t>
      </w:r>
      <w:r w:rsidR="001C5C6E" w:rsidRPr="001E5E77">
        <w:rPr>
          <w:rFonts w:ascii="Arial" w:hAnsi="Arial" w:cs="Arial"/>
          <w:bCs/>
          <w:lang w:eastAsia="hu-HU"/>
        </w:rPr>
        <w:t>lőtakarékossági támogatási összegek, valamint a már nyilvántartott adózott követelés állomány együttes összegét</w:t>
      </w:r>
      <w:r w:rsidR="001C5C6E" w:rsidRPr="001E5E77">
        <w:rPr>
          <w:rFonts w:ascii="Arial" w:hAnsi="Arial" w:cs="Arial"/>
          <w:lang w:eastAsia="hu-HU"/>
        </w:rPr>
        <w:t xml:space="preserve">, </w:t>
      </w:r>
      <w:r w:rsidR="00421E56" w:rsidRPr="001E5E77">
        <w:rPr>
          <w:rFonts w:ascii="Arial" w:hAnsi="Arial" w:cs="Arial"/>
          <w:lang w:eastAsia="hu-HU"/>
        </w:rPr>
        <w:t xml:space="preserve">az Ügyfél </w:t>
      </w:r>
      <w:r w:rsidR="001C5C6E" w:rsidRPr="001E5E77">
        <w:rPr>
          <w:rFonts w:ascii="Arial" w:hAnsi="Arial" w:cs="Arial"/>
          <w:bCs/>
          <w:lang w:eastAsia="hu-HU"/>
        </w:rPr>
        <w:t>egyéb jövedelm</w:t>
      </w:r>
      <w:r w:rsidR="00421E56" w:rsidRPr="001E5E77">
        <w:rPr>
          <w:rFonts w:ascii="Arial" w:hAnsi="Arial" w:cs="Arial"/>
          <w:bCs/>
          <w:lang w:eastAsia="hu-HU"/>
        </w:rPr>
        <w:t>é</w:t>
      </w:r>
      <w:r w:rsidR="001C5C6E" w:rsidRPr="001E5E77">
        <w:rPr>
          <w:rFonts w:ascii="Arial" w:hAnsi="Arial" w:cs="Arial"/>
          <w:bCs/>
          <w:lang w:eastAsia="hu-HU"/>
        </w:rPr>
        <w:t>nek minősül</w:t>
      </w:r>
      <w:r w:rsidR="001C5C6E" w:rsidRPr="001E5E77">
        <w:rPr>
          <w:rFonts w:ascii="Arial" w:hAnsi="Arial" w:cs="Arial"/>
          <w:lang w:eastAsia="hu-HU"/>
        </w:rPr>
        <w:t>.</w:t>
      </w:r>
    </w:p>
    <w:p w14:paraId="46657339" w14:textId="77777777" w:rsidR="00421E56" w:rsidRPr="001C5C6E" w:rsidRDefault="00421E56" w:rsidP="00421E56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lang w:eastAsia="hu-HU"/>
        </w:rPr>
      </w:pPr>
    </w:p>
    <w:p w14:paraId="3D0220FB" w14:textId="3DD0452B" w:rsidR="001C5C6E" w:rsidRPr="001E5E77" w:rsidRDefault="001C5C6E" w:rsidP="001E5E77">
      <w:pPr>
        <w:pStyle w:val="Header"/>
        <w:tabs>
          <w:tab w:val="clear" w:pos="4153"/>
          <w:tab w:val="clear" w:pos="8306"/>
        </w:tabs>
        <w:ind w:firstLine="357"/>
        <w:rPr>
          <w:rFonts w:ascii="Arial" w:hAnsi="Arial" w:cs="Arial"/>
          <w:bCs/>
          <w:sz w:val="20"/>
        </w:rPr>
      </w:pPr>
      <w:r w:rsidRPr="001E5E77">
        <w:rPr>
          <w:rFonts w:ascii="Arial" w:hAnsi="Arial" w:cs="Arial"/>
          <w:sz w:val="20"/>
          <w:lang w:eastAsia="hu-HU"/>
        </w:rPr>
        <w:t xml:space="preserve">Ebben az esetben a már átutalt (adózott követelés állomány esetén a nyilvántartásba vételt követően átutalt) </w:t>
      </w:r>
      <w:r w:rsidR="00F84075" w:rsidRPr="001E5E77">
        <w:rPr>
          <w:rFonts w:ascii="Arial" w:hAnsi="Arial" w:cs="Arial"/>
          <w:sz w:val="20"/>
          <w:lang w:eastAsia="hu-HU"/>
        </w:rPr>
        <w:t>E</w:t>
      </w:r>
      <w:r w:rsidRPr="001E5E77">
        <w:rPr>
          <w:rFonts w:ascii="Arial" w:hAnsi="Arial" w:cs="Arial"/>
          <w:sz w:val="20"/>
          <w:lang w:eastAsia="hu-HU"/>
        </w:rPr>
        <w:t>lőtakarékossági támogatások összegét a tárgyévi SZJA bevallásában 20%-</w:t>
      </w:r>
      <w:r w:rsidR="00C230C4">
        <w:rPr>
          <w:rFonts w:ascii="Arial" w:hAnsi="Arial" w:cs="Arial"/>
          <w:sz w:val="20"/>
          <w:lang w:eastAsia="hu-HU"/>
        </w:rPr>
        <w:t>k</w:t>
      </w:r>
      <w:r w:rsidRPr="001E5E77">
        <w:rPr>
          <w:rFonts w:ascii="Arial" w:hAnsi="Arial" w:cs="Arial"/>
          <w:sz w:val="20"/>
          <w:lang w:eastAsia="hu-HU"/>
        </w:rPr>
        <w:t xml:space="preserve">al növelt értéken kell </w:t>
      </w:r>
      <w:r w:rsidR="00421E56" w:rsidRPr="001E5E77">
        <w:rPr>
          <w:rFonts w:ascii="Arial" w:hAnsi="Arial" w:cs="Arial"/>
          <w:sz w:val="20"/>
          <w:lang w:eastAsia="hu-HU"/>
        </w:rPr>
        <w:t xml:space="preserve">az Ügyfélnek </w:t>
      </w:r>
      <w:r w:rsidRPr="001E5E77">
        <w:rPr>
          <w:rFonts w:ascii="Arial" w:hAnsi="Arial" w:cs="Arial"/>
          <w:sz w:val="20"/>
          <w:lang w:eastAsia="hu-HU"/>
        </w:rPr>
        <w:t>bevallania és megfizetnie a Bank által az adóköteles jövedelmekről kibocsátott éves adóigazolás alapján.</w:t>
      </w:r>
    </w:p>
    <w:p w14:paraId="15B81DC5" w14:textId="77777777" w:rsidR="001C5C6E" w:rsidRPr="009F725F" w:rsidRDefault="001C5C6E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535AC736" w14:textId="77777777" w:rsidR="00C07686" w:rsidRPr="009F725F" w:rsidRDefault="00C07686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  <w:r w:rsidRPr="009F725F">
        <w:rPr>
          <w:rFonts w:ascii="Arial" w:hAnsi="Arial" w:cs="Arial"/>
          <w:b/>
          <w:bCs/>
          <w:sz w:val="20"/>
        </w:rPr>
        <w:t>Egyéb rendelkezések</w:t>
      </w:r>
    </w:p>
    <w:p w14:paraId="5C9948BE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7F8890F6" w14:textId="1D8CDF9A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Felek megállapodnak, hogy amennyiben az Ügyfél az V-VI</w:t>
      </w:r>
      <w:r w:rsidR="00543366">
        <w:rPr>
          <w:rFonts w:ascii="Arial" w:hAnsi="Arial" w:cs="Arial"/>
          <w:sz w:val="20"/>
        </w:rPr>
        <w:t>I</w:t>
      </w:r>
      <w:r w:rsidRPr="009F725F">
        <w:rPr>
          <w:rFonts w:ascii="Arial" w:hAnsi="Arial" w:cs="Arial"/>
          <w:sz w:val="20"/>
        </w:rPr>
        <w:t>. pontban meghatározott szolgáltatásokat, vagy azok valamelyikét nem veszi igénybe, úgy az adott szolgáltatást szabályozó szerződési pontok nem írottnak tekintendők, azzal, hogy ez a tény a Szerződés többi, érvényesen létrejött rendelkezését nem érinti.</w:t>
      </w:r>
    </w:p>
    <w:p w14:paraId="352E3BCF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49B93337" w14:textId="77777777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Ügyfél tudomásul veszi, hogy amennyiben a jelen Szerződés fennállása alatt a Felek által aláírt jelen Szerződésben igényelt szolgáltatásokat módosítja vagy kiegészíti, úgy azt az erre a célra rendszeresített külön Adatlapokon teheti meg. Ezen Adatlap(ok) jelen szerződés elválaszthatatlan részét képezik és jelen Szerződés a Szerződő Felek által történő aláírásának napjától e módosított / kiegészített Adatlapokon rögzített feltételekkel együtt lesz érvényes.</w:t>
      </w:r>
    </w:p>
    <w:p w14:paraId="60EE959A" w14:textId="77777777" w:rsidR="005F24A8" w:rsidRPr="009F725F" w:rsidRDefault="005F24A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3BEE1FDE" w14:textId="79FA5125" w:rsidR="00C07686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Jelen Szerződésben nem szabályozott kérdésekben a Bank Általános Üzleti Feltételei a Befektetési és Kiegészítő Befektetési Szolgáltatási Tevékenységre, az Általános Üzleti Feltételek, a Lakossági Üzletszabályzat az irányadók. Az Ügyfél kijelenti, hogy a Bank hivatkozott Üzletszabályzatait megismerte és az abban foglaltakat magára nézve kötelezőnek ismeri el. </w:t>
      </w:r>
    </w:p>
    <w:p w14:paraId="39496935" w14:textId="77777777" w:rsidR="005F24A8" w:rsidRDefault="005F24A8" w:rsidP="005F24A8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5055DCC3" w14:textId="77777777" w:rsidR="005F24A8" w:rsidRDefault="005F24A8" w:rsidP="005F24A8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283073">
        <w:rPr>
          <w:rFonts w:ascii="Arial" w:hAnsi="Arial" w:cs="Arial"/>
          <w:sz w:val="20"/>
        </w:rPr>
        <w:t>Felek kijelentik, hogy a Szerződés tárgyával kapcsolatos, általuk lényegesnek tekintett valamennyi kérdésben megállapodtak, a jelen Szerződés a Felek közötti megállapodás valamennyi feltételét tartalmazza, és nem képezi a Szerződés részét olyan, a Felek között korábban kialakult szokás, gyakorlat, vagy piaci szokvány, amelyre a Felek nem utalnak a jelen Szerződé</w:t>
      </w:r>
      <w:r>
        <w:rPr>
          <w:rFonts w:ascii="Arial" w:hAnsi="Arial" w:cs="Arial"/>
          <w:sz w:val="20"/>
        </w:rPr>
        <w:t>s</w:t>
      </w:r>
      <w:r w:rsidRPr="00283073">
        <w:rPr>
          <w:rFonts w:ascii="Arial" w:hAnsi="Arial" w:cs="Arial"/>
          <w:sz w:val="20"/>
        </w:rPr>
        <w:t>ben.</w:t>
      </w:r>
    </w:p>
    <w:p w14:paraId="0902FBC3" w14:textId="77777777" w:rsidR="005701AB" w:rsidRDefault="005701AB" w:rsidP="005701AB">
      <w:pPr>
        <w:pStyle w:val="ListParagraph"/>
        <w:rPr>
          <w:rFonts w:ascii="Arial" w:hAnsi="Arial" w:cs="Arial"/>
        </w:rPr>
      </w:pPr>
    </w:p>
    <w:p w14:paraId="52810FED" w14:textId="77777777" w:rsidR="005701AB" w:rsidRDefault="005701AB" w:rsidP="005F24A8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F54013">
        <w:rPr>
          <w:rFonts w:ascii="Arial" w:hAnsi="Arial" w:cs="Arial"/>
          <w:noProof/>
          <w:sz w:val="20"/>
        </w:rPr>
        <w:t>Az OBA által biztosított betétek esetében a Bank és az Ügyfél közötti beszámításnak akkor van helye, ha az Ügyfélnek a Bankkal szemben a kártalanítás kezdő időpontját megelőzően lejárt tartozása van</w:t>
      </w:r>
    </w:p>
    <w:p w14:paraId="3C4CD7C1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6AFDED17" w14:textId="46A14556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Jelen Szerződésre, a Bank és az Ügyfél közötti jogviszonyra a vonatkozó jogszabályi előírások, így különösen a Nyesz.tv, a Tpt, </w:t>
      </w:r>
      <w:r w:rsidR="00972C5C">
        <w:rPr>
          <w:rFonts w:ascii="Arial" w:hAnsi="Arial" w:cs="Arial"/>
          <w:sz w:val="20"/>
        </w:rPr>
        <w:t xml:space="preserve">a Bszt., </w:t>
      </w:r>
      <w:r w:rsidRPr="009F725F">
        <w:rPr>
          <w:rFonts w:ascii="Arial" w:hAnsi="Arial" w:cs="Arial"/>
          <w:sz w:val="20"/>
        </w:rPr>
        <w:t>a Hpt., a Ptk., illetve a pénzforgalmi rendelkezések az irányadók.</w:t>
      </w:r>
    </w:p>
    <w:p w14:paraId="2A7D6D5D" w14:textId="77777777" w:rsidR="00C07686" w:rsidRPr="009F725F" w:rsidRDefault="00C076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28D952BE" w14:textId="14F3AAE9" w:rsidR="00C07686" w:rsidRPr="009F725F" w:rsidRDefault="00C07686">
      <w:pPr>
        <w:pStyle w:val="Header"/>
        <w:numPr>
          <w:ilvl w:val="1"/>
          <w:numId w:val="12"/>
        </w:numPr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 xml:space="preserve">Jelen Szerződés mindkét Fél általi </w:t>
      </w:r>
      <w:r w:rsidRPr="009F725F">
        <w:rPr>
          <w:rFonts w:ascii="Arial" w:hAnsi="Arial" w:cs="Arial"/>
          <w:noProof/>
          <w:sz w:val="20"/>
        </w:rPr>
        <w:t xml:space="preserve">aláírás napján lép hatályba és határozatlan időre szól. Ügyfél </w:t>
      </w:r>
      <w:r w:rsidRPr="009F725F">
        <w:rPr>
          <w:rFonts w:ascii="Arial" w:hAnsi="Arial" w:cs="Arial"/>
          <w:sz w:val="20"/>
        </w:rPr>
        <w:t>kijelenti, hogy az V-VI</w:t>
      </w:r>
      <w:r w:rsidR="00FA79CE">
        <w:rPr>
          <w:rFonts w:ascii="Arial" w:hAnsi="Arial" w:cs="Arial"/>
          <w:sz w:val="20"/>
        </w:rPr>
        <w:t>I</w:t>
      </w:r>
      <w:r w:rsidRPr="009F725F">
        <w:rPr>
          <w:rFonts w:ascii="Arial" w:hAnsi="Arial" w:cs="Arial"/>
          <w:sz w:val="20"/>
        </w:rPr>
        <w:t>. pontokban a szolgáltatások igénybevételére vonatkozó jelölésére a Szerződés általa történt aláírását megelőzően került sor.</w:t>
      </w:r>
    </w:p>
    <w:p w14:paraId="34480137" w14:textId="77777777" w:rsidR="00C07686" w:rsidRPr="009F725F" w:rsidRDefault="00C07686">
      <w:pPr>
        <w:jc w:val="both"/>
        <w:rPr>
          <w:rFonts w:ascii="Arial" w:hAnsi="Arial" w:cs="Arial"/>
        </w:rPr>
      </w:pPr>
    </w:p>
    <w:p w14:paraId="49636BAE" w14:textId="77777777" w:rsidR="00C07686" w:rsidRPr="009F725F" w:rsidRDefault="00C07686">
      <w:pPr>
        <w:jc w:val="both"/>
        <w:rPr>
          <w:rFonts w:ascii="Arial" w:hAnsi="Arial" w:cs="Arial"/>
        </w:rPr>
      </w:pPr>
      <w:bookmarkStart w:id="19" w:name="SZAMLA_SzerzHely"/>
      <w:r w:rsidRPr="009F725F">
        <w:rPr>
          <w:rFonts w:ascii="Arial" w:hAnsi="Arial" w:cs="Arial"/>
        </w:rPr>
        <w:t>…............................</w:t>
      </w:r>
      <w:bookmarkEnd w:id="19"/>
      <w:r w:rsidRPr="009F725F">
        <w:rPr>
          <w:rFonts w:ascii="Arial" w:hAnsi="Arial" w:cs="Arial"/>
        </w:rPr>
        <w:t xml:space="preserve">, </w:t>
      </w:r>
      <w:bookmarkStart w:id="20" w:name="OPAC_Datum"/>
      <w:r w:rsidRPr="009F725F">
        <w:rPr>
          <w:rFonts w:ascii="Arial" w:hAnsi="Arial" w:cs="Arial"/>
        </w:rPr>
        <w:t>................…………….......</w:t>
      </w:r>
      <w:bookmarkEnd w:id="20"/>
    </w:p>
    <w:p w14:paraId="0626BDBE" w14:textId="77777777" w:rsidR="00C07686" w:rsidRPr="009F725F" w:rsidRDefault="00C07686">
      <w:pPr>
        <w:jc w:val="both"/>
        <w:rPr>
          <w:rFonts w:ascii="Arial" w:hAnsi="Arial" w:cs="Arial"/>
        </w:rPr>
      </w:pPr>
    </w:p>
    <w:p w14:paraId="1749D919" w14:textId="77777777" w:rsidR="00C07686" w:rsidRPr="009F725F" w:rsidRDefault="00C07686">
      <w:pPr>
        <w:jc w:val="both"/>
        <w:rPr>
          <w:rFonts w:ascii="Arial" w:hAnsi="Arial" w:cs="Arial"/>
        </w:rPr>
      </w:pPr>
    </w:p>
    <w:p w14:paraId="071A5AF8" w14:textId="77777777" w:rsidR="00C07686" w:rsidRPr="009F725F" w:rsidRDefault="00C0768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5"/>
        <w:gridCol w:w="4696"/>
      </w:tblGrid>
      <w:tr w:rsidR="00C07686" w:rsidRPr="009F725F" w14:paraId="6EE4E928" w14:textId="77777777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19208921" w14:textId="77777777" w:rsidR="00C07686" w:rsidRPr="009F725F" w:rsidRDefault="00C0768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9F725F">
              <w:rPr>
                <w:rFonts w:ascii="Arial" w:hAnsi="Arial" w:cs="Arial"/>
                <w:sz w:val="20"/>
                <w:lang w:val="hu-HU"/>
              </w:rPr>
              <w:t>……………………………….</w:t>
            </w:r>
          </w:p>
          <w:p w14:paraId="103970D6" w14:textId="77777777" w:rsidR="00C07686" w:rsidRPr="009F725F" w:rsidRDefault="00C0768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9F725F">
              <w:rPr>
                <w:rFonts w:ascii="Arial" w:hAnsi="Arial" w:cs="Arial"/>
                <w:sz w:val="20"/>
                <w:lang w:val="hu-HU"/>
              </w:rPr>
              <w:t>Ügyfél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6AA7DEA" w14:textId="77777777" w:rsidR="00C07686" w:rsidRPr="009F725F" w:rsidRDefault="00C0768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9F725F">
              <w:rPr>
                <w:rFonts w:ascii="Arial" w:hAnsi="Arial" w:cs="Arial"/>
                <w:sz w:val="20"/>
                <w:lang w:val="hu-HU"/>
              </w:rPr>
              <w:t>…………………………….</w:t>
            </w:r>
          </w:p>
          <w:p w14:paraId="55AD2803" w14:textId="77777777" w:rsidR="00C07686" w:rsidRPr="009F725F" w:rsidRDefault="009F725F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9F725F">
              <w:rPr>
                <w:rFonts w:ascii="Arial" w:hAnsi="Arial" w:cs="Arial"/>
                <w:sz w:val="20"/>
                <w:lang w:val="hu-HU"/>
              </w:rPr>
              <w:t>UniCredit Bank Hungary Zrt</w:t>
            </w:r>
            <w:r w:rsidR="00C07686" w:rsidRPr="009F725F">
              <w:rPr>
                <w:rFonts w:ascii="Arial" w:hAnsi="Arial" w:cs="Arial"/>
                <w:sz w:val="20"/>
                <w:lang w:val="hu-HU"/>
              </w:rPr>
              <w:t>.</w:t>
            </w:r>
          </w:p>
        </w:tc>
      </w:tr>
    </w:tbl>
    <w:p w14:paraId="2A892039" w14:textId="1307E012" w:rsidR="00723F57" w:rsidRPr="009F725F" w:rsidRDefault="00723F57" w:rsidP="00723F5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69A5EAFE" w14:textId="77777777" w:rsidR="00723F57" w:rsidRPr="009F725F" w:rsidRDefault="00723F57" w:rsidP="00723F5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Ügyfél nyilatkozata a nyugdíj-előtakarékossági számlán a NYESZ-R jelölés használatáról</w:t>
      </w:r>
    </w:p>
    <w:p w14:paraId="1D350CA2" w14:textId="77777777" w:rsidR="00723F57" w:rsidRPr="009F725F" w:rsidRDefault="00723F57" w:rsidP="00723F5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</w:p>
    <w:p w14:paraId="17326E15" w14:textId="77777777" w:rsidR="00723F57" w:rsidRPr="009F725F" w:rsidRDefault="00723F57" w:rsidP="00723F5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Kijelentem, hogy a Banknál vezetett</w:t>
      </w:r>
      <w:r w:rsidR="00B200D9" w:rsidRPr="009F725F">
        <w:rPr>
          <w:rFonts w:ascii="Arial" w:hAnsi="Arial" w:cs="Arial"/>
          <w:sz w:val="20"/>
        </w:rPr>
        <w:t xml:space="preserve">, </w:t>
      </w:r>
      <w:r w:rsidRPr="009F725F">
        <w:rPr>
          <w:rFonts w:ascii="Arial" w:hAnsi="Arial" w:cs="Arial"/>
          <w:sz w:val="20"/>
        </w:rPr>
        <w:t xml:space="preserve">a </w:t>
      </w:r>
      <w:r w:rsidR="00B200D9" w:rsidRPr="009F725F">
        <w:rPr>
          <w:rFonts w:ascii="Arial" w:hAnsi="Arial" w:cs="Arial"/>
          <w:sz w:val="20"/>
        </w:rPr>
        <w:t xml:space="preserve">fenti </w:t>
      </w:r>
      <w:r w:rsidRPr="009F725F">
        <w:rPr>
          <w:rFonts w:ascii="Arial" w:hAnsi="Arial" w:cs="Arial"/>
          <w:sz w:val="20"/>
        </w:rPr>
        <w:t>szerződés I. és II. pontjában meghatározott Nyugdíj-előtakarékossági számlákat NYESZ-R megkülönböztetéssel kívánom jelölni.</w:t>
      </w:r>
    </w:p>
    <w:p w14:paraId="04B5DD32" w14:textId="77777777" w:rsidR="00723F57" w:rsidRPr="009F725F" w:rsidRDefault="00723F57" w:rsidP="00723F5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 w:rsidRPr="009F725F">
        <w:rPr>
          <w:rFonts w:ascii="Arial" w:hAnsi="Arial" w:cs="Arial"/>
          <w:sz w:val="20"/>
        </w:rPr>
        <w:t>Tudomásul veszem, hogy a NYESZ-R számla kijelölésére vonatkozó nyilatkozatáról a Bank tájékoztatja az állami adóhatóságot.</w:t>
      </w:r>
    </w:p>
    <w:p w14:paraId="4FF3782B" w14:textId="77777777" w:rsidR="00723F57" w:rsidRPr="009F725F" w:rsidRDefault="00723F57" w:rsidP="00723F57">
      <w:pPr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 xml:space="preserve">Tudomásul veszem továbbá, hogy az Szja tv. 44/B.§ alapján </w:t>
      </w:r>
    </w:p>
    <w:p w14:paraId="4A55DB84" w14:textId="77777777" w:rsidR="00723F57" w:rsidRPr="009F725F" w:rsidRDefault="00723F57" w:rsidP="00723F57">
      <w:pPr>
        <w:jc w:val="both"/>
        <w:rPr>
          <w:rFonts w:ascii="Arial" w:hAnsi="Arial" w:cs="Arial"/>
        </w:rPr>
      </w:pPr>
      <w:r w:rsidRPr="009F725F">
        <w:rPr>
          <w:rFonts w:ascii="Arial" w:hAnsi="Arial" w:cs="Arial"/>
        </w:rPr>
        <w:t>- ha a magánszemély egyidejűleg több érvényes megállapodással is rendelkezik nyugdíj-előtakarékossági számlák vezetésére, az Szja tv. alkalmazásában csak egy - az elsőként adott - nyilatkozat alapján jelzett nyugdíj-előtakarékossági számlák minősülnek nyugdíj-előtakarékossági számlának mindaddig, amíg az így jelzett számla vezetésére kötött megállapodás fennáll. Az azonos keltezéssel adott több nyilatkozat esetében egyik sem érvényes.</w:t>
      </w:r>
    </w:p>
    <w:p w14:paraId="5AD3453F" w14:textId="77777777" w:rsidR="00723F57" w:rsidRPr="009F725F" w:rsidRDefault="00723F57" w:rsidP="00723F57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- ha a NYESZ-R jelzéssel ellátott számláról az adóhatóság megállapítja a jelzés jogtalan használatát, úgy az emiatt mutatkozó adóhiányt és annak késedelmi pótlékát az adóhatóság határozata alapján kell megfizetnem.</w:t>
      </w:r>
    </w:p>
    <w:p w14:paraId="76146A1C" w14:textId="77777777" w:rsidR="00723F57" w:rsidRPr="009F725F" w:rsidRDefault="00723F57" w:rsidP="00723F57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0837A76A" w14:textId="77777777" w:rsidR="00723F57" w:rsidRPr="009F725F" w:rsidRDefault="00723F57" w:rsidP="00723F57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5A1E4F12" w14:textId="77777777" w:rsidR="00723F57" w:rsidRPr="009F725F" w:rsidRDefault="00723F57" w:rsidP="00723F57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57CC3CE8" w14:textId="77777777" w:rsidR="00723F57" w:rsidRPr="009F725F" w:rsidRDefault="00723F57" w:rsidP="00723F57">
      <w:pPr>
        <w:pStyle w:val="Footer"/>
        <w:tabs>
          <w:tab w:val="clear" w:pos="4153"/>
          <w:tab w:val="clear" w:pos="8306"/>
        </w:tabs>
        <w:ind w:left="5712"/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.............................................................</w:t>
      </w:r>
    </w:p>
    <w:p w14:paraId="5149622D" w14:textId="77777777" w:rsidR="00723F57" w:rsidRPr="009F725F" w:rsidRDefault="00723F57" w:rsidP="00723F57">
      <w:pPr>
        <w:pStyle w:val="Footer"/>
        <w:tabs>
          <w:tab w:val="clear" w:pos="4153"/>
          <w:tab w:val="clear" w:pos="8306"/>
        </w:tabs>
        <w:ind w:left="6783"/>
        <w:rPr>
          <w:rFonts w:ascii="Arial" w:hAnsi="Arial" w:cs="Arial"/>
          <w:i/>
          <w:iCs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Ügyfél</w:t>
      </w:r>
    </w:p>
    <w:p w14:paraId="074846A5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i/>
          <w:iCs/>
          <w:sz w:val="20"/>
          <w:lang w:val="hu-HU"/>
        </w:rPr>
      </w:pPr>
    </w:p>
    <w:p w14:paraId="7ACAE9CD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i/>
          <w:iCs/>
          <w:sz w:val="20"/>
          <w:lang w:val="hu-HU"/>
        </w:rPr>
      </w:pPr>
    </w:p>
    <w:p w14:paraId="557850B6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Mellékletek:</w:t>
      </w:r>
    </w:p>
    <w:p w14:paraId="03BD3E0C" w14:textId="0538EABD" w:rsidR="00C07686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 xml:space="preserve">1. sz. melléklet </w:t>
      </w:r>
      <w:r w:rsidR="00C230C4">
        <w:rPr>
          <w:rFonts w:ascii="Arial" w:hAnsi="Arial" w:cs="Arial"/>
          <w:sz w:val="20"/>
          <w:lang w:val="hu-HU"/>
        </w:rPr>
        <w:t xml:space="preserve">- </w:t>
      </w:r>
      <w:r w:rsidRPr="009F725F">
        <w:rPr>
          <w:rFonts w:ascii="Arial" w:hAnsi="Arial" w:cs="Arial"/>
          <w:sz w:val="20"/>
          <w:lang w:val="hu-HU"/>
        </w:rPr>
        <w:t>A Szerződés tárgyát képező befektetési eszközök köre</w:t>
      </w:r>
    </w:p>
    <w:p w14:paraId="0E02035E" w14:textId="0EA2AD22" w:rsidR="00E15F9A" w:rsidRPr="008F5EF1" w:rsidRDefault="00E15F9A" w:rsidP="00E15F9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2</w:t>
      </w:r>
      <w:r w:rsidRPr="009F725F">
        <w:rPr>
          <w:rFonts w:ascii="Arial" w:hAnsi="Arial" w:cs="Arial"/>
        </w:rPr>
        <w:t xml:space="preserve">. </w:t>
      </w:r>
      <w:r w:rsidR="00C230C4" w:rsidRPr="009F725F">
        <w:rPr>
          <w:rFonts w:ascii="Arial" w:hAnsi="Arial" w:cs="Arial"/>
        </w:rPr>
        <w:t xml:space="preserve">sz. melléklet </w:t>
      </w:r>
      <w:r w:rsidR="00C230C4">
        <w:rPr>
          <w:rFonts w:ascii="Arial" w:hAnsi="Arial" w:cs="Arial"/>
        </w:rPr>
        <w:t xml:space="preserve">- </w:t>
      </w:r>
      <w:r w:rsidRPr="00F54013">
        <w:rPr>
          <w:rFonts w:ascii="Arial" w:hAnsi="Arial" w:cs="Arial"/>
          <w:noProof/>
        </w:rPr>
        <w:t>Tájékoztató a betéteseknek</w:t>
      </w:r>
    </w:p>
    <w:p w14:paraId="7E47D8AE" w14:textId="77777777" w:rsidR="00E15F9A" w:rsidRDefault="00E15F9A" w:rsidP="00E15F9A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25507982" w14:textId="77777777" w:rsidR="00E15F9A" w:rsidRDefault="00E15F9A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1B523217" w14:textId="77777777" w:rsidR="00E15F9A" w:rsidRPr="009F725F" w:rsidRDefault="00E15F9A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3B58693C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br w:type="page"/>
      </w:r>
      <w:r w:rsidRPr="009F725F">
        <w:rPr>
          <w:rFonts w:ascii="Arial" w:hAnsi="Arial" w:cs="Arial"/>
          <w:b/>
          <w:bCs/>
          <w:sz w:val="20"/>
          <w:lang w:val="hu-HU"/>
        </w:rPr>
        <w:lastRenderedPageBreak/>
        <w:t>1. sz. melléklet</w:t>
      </w:r>
    </w:p>
    <w:p w14:paraId="49C9E436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  <w:lang w:val="hu-HU"/>
        </w:rPr>
      </w:pPr>
    </w:p>
    <w:p w14:paraId="6144B50C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  <w:lang w:val="hu-HU"/>
        </w:rPr>
      </w:pPr>
    </w:p>
    <w:p w14:paraId="23E26780" w14:textId="77777777" w:rsidR="00C07686" w:rsidRPr="009F725F" w:rsidRDefault="00C07686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b/>
          <w:bCs/>
          <w:sz w:val="20"/>
          <w:lang w:val="hu-HU"/>
        </w:rPr>
        <w:t>Befektetési eszközök listája</w:t>
      </w:r>
    </w:p>
    <w:p w14:paraId="3FA960AF" w14:textId="77777777" w:rsidR="00C07686" w:rsidRPr="009F725F" w:rsidRDefault="00C07686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0"/>
          <w:lang w:val="hu-HU"/>
        </w:rPr>
      </w:pPr>
    </w:p>
    <w:p w14:paraId="5FEEE27A" w14:textId="77777777" w:rsidR="00C07686" w:rsidRPr="009F725F" w:rsidRDefault="00C07686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sz w:val="20"/>
          <w:lang w:val="hu-HU"/>
        </w:rPr>
      </w:pPr>
    </w:p>
    <w:p w14:paraId="6A735868" w14:textId="77777777" w:rsidR="00C07686" w:rsidRPr="009F725F" w:rsidRDefault="00C07686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A</w:t>
      </w:r>
      <w:r w:rsidR="00093C9D">
        <w:rPr>
          <w:rFonts w:ascii="Arial" w:hAnsi="Arial" w:cs="Arial"/>
          <w:sz w:val="20"/>
          <w:lang w:val="hu-HU"/>
        </w:rPr>
        <w:t>z</w:t>
      </w:r>
      <w:r w:rsidRPr="009F725F">
        <w:rPr>
          <w:rFonts w:ascii="Arial" w:hAnsi="Arial" w:cs="Arial"/>
          <w:sz w:val="20"/>
          <w:lang w:val="hu-HU"/>
        </w:rPr>
        <w:t xml:space="preserve"> </w:t>
      </w:r>
      <w:r w:rsidR="009F725F" w:rsidRPr="009F725F">
        <w:rPr>
          <w:rFonts w:ascii="Arial" w:hAnsi="Arial" w:cs="Arial"/>
          <w:sz w:val="20"/>
          <w:lang w:val="hu-HU"/>
        </w:rPr>
        <w:t>UniCredit Bank Hungary Zrt</w:t>
      </w:r>
      <w:r w:rsidRPr="009F725F">
        <w:rPr>
          <w:rFonts w:ascii="Arial" w:hAnsi="Arial" w:cs="Arial"/>
          <w:sz w:val="20"/>
          <w:lang w:val="hu-HU"/>
        </w:rPr>
        <w:t>. a Nyugdíj-előtakarékossági számlaszerződés alapján kizárólag az alábbi típusú befektetési eszközökre fogad el megbízást:</w:t>
      </w:r>
    </w:p>
    <w:p w14:paraId="661371CF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1301FED9" w14:textId="77777777" w:rsidR="00C07686" w:rsidRPr="009F725F" w:rsidRDefault="00C07686">
      <w:pPr>
        <w:pStyle w:val="Foot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állampapírok</w:t>
      </w:r>
    </w:p>
    <w:p w14:paraId="4E9A8CD8" w14:textId="77777777" w:rsidR="00C07686" w:rsidRPr="009F725F" w:rsidRDefault="00C07686">
      <w:pPr>
        <w:pStyle w:val="Foot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jelzáloglevelek</w:t>
      </w:r>
    </w:p>
    <w:p w14:paraId="1A1A1549" w14:textId="77777777" w:rsidR="00C07686" w:rsidRPr="009F725F" w:rsidRDefault="00C07686">
      <w:pPr>
        <w:pStyle w:val="Foot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 xml:space="preserve">Bank által forgalmazott zártvégű alapok (tőkegarantált alapok) </w:t>
      </w:r>
    </w:p>
    <w:p w14:paraId="75AF4AB0" w14:textId="302BCE1C" w:rsidR="00C07686" w:rsidRPr="009F725F" w:rsidRDefault="00C07686">
      <w:pPr>
        <w:pStyle w:val="Foot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 xml:space="preserve">Bank által forgalmazott nyíltvégű, HUF-ban denominált alapok  </w:t>
      </w:r>
    </w:p>
    <w:p w14:paraId="60D1327A" w14:textId="77777777" w:rsidR="00C07686" w:rsidRPr="009F725F" w:rsidRDefault="00C07686">
      <w:pPr>
        <w:pStyle w:val="Foot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Budapesti Értéktőzsdére bevezetett részvények</w:t>
      </w:r>
    </w:p>
    <w:p w14:paraId="548A6BEE" w14:textId="77777777" w:rsidR="00C07686" w:rsidRPr="009F725F" w:rsidRDefault="00C07686">
      <w:pPr>
        <w:numPr>
          <w:ilvl w:val="12"/>
          <w:numId w:val="0"/>
        </w:numPr>
        <w:autoSpaceDE w:val="0"/>
        <w:autoSpaceDN w:val="0"/>
        <w:adjustRightInd w:val="0"/>
        <w:ind w:firstLine="45"/>
        <w:jc w:val="both"/>
        <w:rPr>
          <w:rFonts w:ascii="Arial" w:hAnsi="Arial" w:cs="Arial"/>
        </w:rPr>
      </w:pPr>
    </w:p>
    <w:p w14:paraId="5D5B5BBB" w14:textId="77777777" w:rsidR="00C07686" w:rsidRPr="009F725F" w:rsidRDefault="00C07686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  <w:r w:rsidRPr="009F725F">
        <w:rPr>
          <w:rFonts w:ascii="Arial" w:hAnsi="Arial" w:cs="Arial"/>
          <w:sz w:val="20"/>
          <w:lang w:val="hu-HU"/>
        </w:rPr>
        <w:t>A Bank – állampapírok és jelzáloglevelek esetén - fenntartja a jogot arra, hogy üzletpolitikája körében meghatározza az egyes befektetési eszköz típusokon belül elérhető értékpapírfajták körét.</w:t>
      </w:r>
    </w:p>
    <w:p w14:paraId="14DAFFB6" w14:textId="77777777" w:rsidR="009250D7" w:rsidRPr="009F725F" w:rsidRDefault="009250D7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p w14:paraId="30909660" w14:textId="77777777" w:rsidR="009250D7" w:rsidRPr="005F24A8" w:rsidRDefault="009250D7" w:rsidP="00E83A40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lang w:val="hu-HU"/>
        </w:rPr>
      </w:pPr>
    </w:p>
    <w:sectPr w:rsidR="009250D7" w:rsidRPr="005F24A8" w:rsidSect="001F0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253" w:bottom="993" w:left="125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0F69" w14:textId="77777777" w:rsidR="000B7AD5" w:rsidRDefault="000B7AD5">
      <w:r>
        <w:separator/>
      </w:r>
    </w:p>
  </w:endnote>
  <w:endnote w:type="continuationSeparator" w:id="0">
    <w:p w14:paraId="1CFC199E" w14:textId="77777777" w:rsidR="000B7AD5" w:rsidRDefault="000B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 Centennial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CEM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">
    <w:panose1 w:val="05000000000000000000"/>
    <w:charset w:val="00"/>
    <w:family w:val="auto"/>
    <w:pitch w:val="variable"/>
    <w:sig w:usb0="00000003" w:usb1="10000000" w:usb2="00000000" w:usb3="00000000" w:csb0="80000001" w:csb1="00000000"/>
  </w:font>
  <w:font w:name="H-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FC3E" w14:textId="77777777" w:rsidR="001E5E77" w:rsidRDefault="00AA4E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E5E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B983D" w14:textId="77777777" w:rsidR="001E5E77" w:rsidRDefault="001E5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7E1B" w14:textId="77777777" w:rsidR="001E5E77" w:rsidRDefault="00AA4E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E5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85D">
      <w:rPr>
        <w:rStyle w:val="PageNumber"/>
        <w:noProof/>
      </w:rPr>
      <w:t>6</w:t>
    </w:r>
    <w:r>
      <w:rPr>
        <w:rStyle w:val="PageNumber"/>
      </w:rPr>
      <w:fldChar w:fldCharType="end"/>
    </w:r>
  </w:p>
  <w:p w14:paraId="0E9A7FA1" w14:textId="77777777" w:rsidR="001E5E77" w:rsidRDefault="001E5E77">
    <w:pPr>
      <w:pStyle w:val="Footer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A315" w14:textId="77777777" w:rsidR="00DE1CF4" w:rsidRDefault="00DE1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0054" w14:textId="77777777" w:rsidR="000B7AD5" w:rsidRDefault="000B7AD5">
      <w:r>
        <w:separator/>
      </w:r>
    </w:p>
  </w:footnote>
  <w:footnote w:type="continuationSeparator" w:id="0">
    <w:p w14:paraId="229596A8" w14:textId="77777777" w:rsidR="000B7AD5" w:rsidRDefault="000B7AD5">
      <w:r>
        <w:continuationSeparator/>
      </w:r>
    </w:p>
  </w:footnote>
  <w:footnote w:id="1">
    <w:p w14:paraId="2ACEB818" w14:textId="1B8ECB29" w:rsidR="001E5E77" w:rsidRPr="00C230C4" w:rsidRDefault="001E5E77">
      <w:pPr>
        <w:pStyle w:val="FootnoteText"/>
        <w:rPr>
          <w:rFonts w:ascii="Arial" w:hAnsi="Arial" w:cs="Arial"/>
          <w:szCs w:val="22"/>
          <w:lang w:val="it-IT"/>
        </w:rPr>
      </w:pPr>
      <w:r w:rsidRPr="00C230C4">
        <w:rPr>
          <w:rStyle w:val="FootnoteReference"/>
          <w:rFonts w:ascii="Arial" w:hAnsi="Arial" w:cs="Arial"/>
          <w:szCs w:val="22"/>
        </w:rPr>
        <w:footnoteRef/>
      </w:r>
      <w:r w:rsidRPr="00C230C4">
        <w:rPr>
          <w:rFonts w:ascii="Arial" w:hAnsi="Arial" w:cs="Arial"/>
          <w:szCs w:val="22"/>
          <w:lang w:val="it-IT"/>
        </w:rPr>
        <w:t xml:space="preserve"> A számla</w:t>
      </w:r>
      <w:r w:rsidR="00416784">
        <w:rPr>
          <w:rFonts w:ascii="Arial" w:hAnsi="Arial" w:cs="Arial"/>
          <w:szCs w:val="22"/>
          <w:lang w:val="it-IT"/>
        </w:rPr>
        <w:t>,</w:t>
      </w:r>
      <w:r w:rsidRPr="00C230C4">
        <w:rPr>
          <w:rFonts w:ascii="Arial" w:hAnsi="Arial" w:cs="Arial"/>
          <w:szCs w:val="22"/>
          <w:lang w:val="it-IT"/>
        </w:rPr>
        <w:t xml:space="preserve"> ami az </w:t>
      </w:r>
      <w:r w:rsidR="00765390">
        <w:rPr>
          <w:rFonts w:ascii="Arial" w:hAnsi="Arial" w:cs="Arial"/>
          <w:szCs w:val="22"/>
          <w:lang w:val="it-IT"/>
        </w:rPr>
        <w:t>I</w:t>
      </w:r>
      <w:r w:rsidRPr="00C230C4">
        <w:rPr>
          <w:rFonts w:ascii="Arial" w:hAnsi="Arial" w:cs="Arial"/>
          <w:szCs w:val="22"/>
          <w:lang w:val="it-IT"/>
        </w:rPr>
        <w:t>.a) pont szerinti jóváírásokra szolgál</w:t>
      </w:r>
    </w:p>
  </w:footnote>
  <w:footnote w:id="2">
    <w:p w14:paraId="57792804" w14:textId="43390F94" w:rsidR="001E5E77" w:rsidRPr="00C230C4" w:rsidRDefault="001E5E77">
      <w:pPr>
        <w:pStyle w:val="FootnoteText"/>
        <w:rPr>
          <w:rFonts w:ascii="Arial" w:hAnsi="Arial" w:cs="Arial"/>
          <w:szCs w:val="22"/>
          <w:lang w:val="it-IT"/>
        </w:rPr>
      </w:pPr>
      <w:r w:rsidRPr="00C230C4">
        <w:rPr>
          <w:rStyle w:val="FootnoteReference"/>
          <w:rFonts w:ascii="Arial" w:hAnsi="Arial" w:cs="Arial"/>
          <w:szCs w:val="22"/>
        </w:rPr>
        <w:footnoteRef/>
      </w:r>
      <w:r w:rsidRPr="00C230C4">
        <w:rPr>
          <w:rFonts w:ascii="Arial" w:hAnsi="Arial" w:cs="Arial"/>
          <w:szCs w:val="22"/>
          <w:lang w:val="it-IT"/>
        </w:rPr>
        <w:t xml:space="preserve"> A </w:t>
      </w:r>
      <w:r w:rsidRPr="00C230C4">
        <w:rPr>
          <w:rFonts w:ascii="Arial" w:hAnsi="Arial" w:cs="Arial"/>
          <w:szCs w:val="22"/>
          <w:lang w:val="it-IT"/>
        </w:rPr>
        <w:t>számla</w:t>
      </w:r>
      <w:r w:rsidR="00416784">
        <w:rPr>
          <w:rFonts w:ascii="Arial" w:hAnsi="Arial" w:cs="Arial"/>
          <w:szCs w:val="22"/>
          <w:lang w:val="it-IT"/>
        </w:rPr>
        <w:t>,</w:t>
      </w:r>
      <w:r w:rsidRPr="00C230C4">
        <w:rPr>
          <w:rFonts w:ascii="Arial" w:hAnsi="Arial" w:cs="Arial"/>
          <w:szCs w:val="22"/>
          <w:lang w:val="it-IT"/>
        </w:rPr>
        <w:t xml:space="preserve"> ami az </w:t>
      </w:r>
      <w:r w:rsidR="00765390">
        <w:rPr>
          <w:rFonts w:ascii="Arial" w:hAnsi="Arial" w:cs="Arial"/>
          <w:szCs w:val="22"/>
          <w:lang w:val="it-IT"/>
        </w:rPr>
        <w:t>I</w:t>
      </w:r>
      <w:r w:rsidRPr="00C230C4">
        <w:rPr>
          <w:rFonts w:ascii="Arial" w:hAnsi="Arial" w:cs="Arial"/>
          <w:szCs w:val="22"/>
          <w:lang w:val="it-IT"/>
        </w:rPr>
        <w:t>.b), c)</w:t>
      </w:r>
      <w:r w:rsidR="00416784">
        <w:rPr>
          <w:rFonts w:ascii="Arial" w:hAnsi="Arial" w:cs="Arial"/>
          <w:szCs w:val="22"/>
          <w:lang w:val="it-IT"/>
        </w:rPr>
        <w:t>,</w:t>
      </w:r>
      <w:r w:rsidRPr="00C230C4">
        <w:rPr>
          <w:rFonts w:ascii="Arial" w:hAnsi="Arial" w:cs="Arial"/>
          <w:szCs w:val="22"/>
          <w:lang w:val="it-IT"/>
        </w:rPr>
        <w:t xml:space="preserve"> d) és e) pontok szerinti jóváírásokra szolgál</w:t>
      </w:r>
    </w:p>
  </w:footnote>
  <w:footnote w:id="3">
    <w:p w14:paraId="5E01143E" w14:textId="77777777" w:rsidR="001E5E77" w:rsidRPr="00C230C4" w:rsidRDefault="001E5E77">
      <w:pPr>
        <w:pStyle w:val="FootnoteText"/>
        <w:rPr>
          <w:rFonts w:ascii="Arial" w:hAnsi="Arial" w:cs="Arial"/>
          <w:szCs w:val="22"/>
          <w:lang w:val="it-IT"/>
        </w:rPr>
      </w:pPr>
      <w:r w:rsidRPr="00C230C4">
        <w:rPr>
          <w:rStyle w:val="FootnoteReference"/>
          <w:rFonts w:ascii="Arial" w:hAnsi="Arial" w:cs="Arial"/>
          <w:szCs w:val="22"/>
        </w:rPr>
        <w:footnoteRef/>
      </w:r>
      <w:r w:rsidRPr="00C230C4">
        <w:rPr>
          <w:rFonts w:ascii="Arial" w:hAnsi="Arial" w:cs="Arial"/>
          <w:szCs w:val="22"/>
          <w:lang w:val="it-IT"/>
        </w:rPr>
        <w:t xml:space="preserve"> A 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9899" w14:textId="77777777" w:rsidR="00DE1CF4" w:rsidRDefault="00DE1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-Arial" w:hAnsi="H-Arial"/>
        <w:noProof/>
      </w:rPr>
      <w:id w:val="1624657885"/>
      <w:docPartObj>
        <w:docPartGallery w:val="Watermarks"/>
        <w:docPartUnique/>
      </w:docPartObj>
    </w:sdtPr>
    <w:sdtContent>
      <w:p w14:paraId="294BCF62" w14:textId="7F530ECB" w:rsidR="001E5E77" w:rsidRDefault="006944DF">
        <w:pPr>
          <w:tabs>
            <w:tab w:val="center" w:pos="4678"/>
          </w:tabs>
          <w:spacing w:before="60"/>
          <w:jc w:val="center"/>
          <w:rPr>
            <w:rFonts w:ascii="H-Arial" w:hAnsi="H-Arial"/>
            <w:noProof/>
          </w:rPr>
        </w:pPr>
        <w:r w:rsidRPr="006944DF">
          <w:rPr>
            <w:rFonts w:ascii="H-Arial" w:hAnsi="H-Arial"/>
            <w:noProof/>
          </w:rPr>
          <w:pict w14:anchorId="750AC6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539173" o:spid="_x0000_s1026" type="#_x0000_t136" style="position:absolute;left:0;text-align:left;margin-left:0;margin-top:0;width:441.8pt;height:220.9pt;rotation:315;z-index:-251657216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  <w:p w14:paraId="5C5F9CD2" w14:textId="65050E70" w:rsidR="001E5E77" w:rsidRDefault="00543366" w:rsidP="009F725F">
    <w:pPr>
      <w:pStyle w:val="Header"/>
      <w:ind w:left="-794"/>
      <w:rPr>
        <w:rFonts w:ascii="L Centennial 45 Light" w:hAnsi="L Centennial 45 Light"/>
        <w:b/>
        <w:bCs/>
        <w:sz w:val="20"/>
      </w:rPr>
    </w:pPr>
    <w:r>
      <w:rPr>
        <w:rFonts w:ascii="L Centennial 45 Light" w:hAnsi="L Centennial 45 Light"/>
        <w:b/>
        <w:noProof/>
        <w:sz w:val="20"/>
        <w:lang w:eastAsia="hu-HU"/>
      </w:rPr>
      <w:drawing>
        <wp:inline distT="0" distB="0" distL="0" distR="0" wp14:anchorId="01DD889E" wp14:editId="7B78D15E">
          <wp:extent cx="2641600" cy="482600"/>
          <wp:effectExtent l="0" t="0" r="0" b="0"/>
          <wp:docPr id="1" name="Picture 1" descr="UC Bank_logo_sz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 Bank_logo_sz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0034C" w14:textId="77777777" w:rsidR="001E5E77" w:rsidRDefault="001E5E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DD72" w14:textId="77777777" w:rsidR="001E5E77" w:rsidRDefault="001E5E77">
    <w:pPr>
      <w:tabs>
        <w:tab w:val="center" w:pos="4678"/>
      </w:tabs>
      <w:spacing w:before="60"/>
      <w:rPr>
        <w:rFonts w:ascii="H-Arial" w:hAnsi="H-Arial"/>
        <w:noProof/>
      </w:rPr>
    </w:pPr>
    <w:r>
      <w:rPr>
        <w:rFonts w:ascii="H-Arial" w:hAnsi="H-Arial"/>
        <w:noProof/>
      </w:rPr>
      <w:tab/>
    </w:r>
  </w:p>
  <w:p w14:paraId="657C36AD" w14:textId="77777777" w:rsidR="001E5E77" w:rsidRDefault="001E5E77">
    <w:pPr>
      <w:pStyle w:val="Header"/>
      <w:tabs>
        <w:tab w:val="clear" w:pos="4153"/>
        <w:tab w:val="clear" w:pos="8306"/>
        <w:tab w:val="center" w:pos="4678"/>
        <w:tab w:val="right" w:pos="9356"/>
      </w:tabs>
      <w:spacing w:before="40"/>
      <w:jc w:val="left"/>
    </w:pPr>
    <w:r>
      <w:rPr>
        <w:rFonts w:ascii="Garamond" w:hAnsi="Garamond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7E6C2C"/>
    <w:lvl w:ilvl="0">
      <w:numFmt w:val="decimal"/>
      <w:lvlText w:val="*"/>
      <w:lvlJc w:val="left"/>
    </w:lvl>
  </w:abstractNum>
  <w:abstractNum w:abstractNumId="1" w15:restartNumberingAfterBreak="0">
    <w:nsid w:val="040727EE"/>
    <w:multiLevelType w:val="singleLevel"/>
    <w:tmpl w:val="4072AC22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2" w15:restartNumberingAfterBreak="0">
    <w:nsid w:val="08AD798A"/>
    <w:multiLevelType w:val="hybridMultilevel"/>
    <w:tmpl w:val="E4202EA2"/>
    <w:lvl w:ilvl="0" w:tplc="B18E2CF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C430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A4714F"/>
    <w:multiLevelType w:val="hybridMultilevel"/>
    <w:tmpl w:val="2E643EB4"/>
    <w:lvl w:ilvl="0" w:tplc="49BC0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5A808FC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B095F"/>
    <w:multiLevelType w:val="hybridMultilevel"/>
    <w:tmpl w:val="48BE0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E7815"/>
    <w:multiLevelType w:val="hybridMultilevel"/>
    <w:tmpl w:val="4830D5F6"/>
    <w:lvl w:ilvl="0" w:tplc="205CC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678CD"/>
    <w:multiLevelType w:val="hybridMultilevel"/>
    <w:tmpl w:val="CA48D816"/>
    <w:lvl w:ilvl="0" w:tplc="5F42FD06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263C"/>
    <w:multiLevelType w:val="hybridMultilevel"/>
    <w:tmpl w:val="EE7C9E74"/>
    <w:lvl w:ilvl="0" w:tplc="45BC9EF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636C9BA0">
      <w:numFmt w:val="none"/>
      <w:lvlText w:val=""/>
      <w:lvlJc w:val="left"/>
      <w:pPr>
        <w:tabs>
          <w:tab w:val="num" w:pos="360"/>
        </w:tabs>
      </w:pPr>
    </w:lvl>
    <w:lvl w:ilvl="2" w:tplc="E1AC2B86">
      <w:numFmt w:val="none"/>
      <w:lvlText w:val=""/>
      <w:lvlJc w:val="left"/>
      <w:pPr>
        <w:tabs>
          <w:tab w:val="num" w:pos="360"/>
        </w:tabs>
      </w:pPr>
    </w:lvl>
    <w:lvl w:ilvl="3" w:tplc="FF783B18">
      <w:numFmt w:val="none"/>
      <w:lvlText w:val=""/>
      <w:lvlJc w:val="left"/>
      <w:pPr>
        <w:tabs>
          <w:tab w:val="num" w:pos="360"/>
        </w:tabs>
      </w:pPr>
    </w:lvl>
    <w:lvl w:ilvl="4" w:tplc="866A1228">
      <w:numFmt w:val="none"/>
      <w:lvlText w:val=""/>
      <w:lvlJc w:val="left"/>
      <w:pPr>
        <w:tabs>
          <w:tab w:val="num" w:pos="360"/>
        </w:tabs>
      </w:pPr>
    </w:lvl>
    <w:lvl w:ilvl="5" w:tplc="E24ADEBA">
      <w:numFmt w:val="none"/>
      <w:lvlText w:val=""/>
      <w:lvlJc w:val="left"/>
      <w:pPr>
        <w:tabs>
          <w:tab w:val="num" w:pos="360"/>
        </w:tabs>
      </w:pPr>
    </w:lvl>
    <w:lvl w:ilvl="6" w:tplc="401E4F62">
      <w:numFmt w:val="none"/>
      <w:lvlText w:val=""/>
      <w:lvlJc w:val="left"/>
      <w:pPr>
        <w:tabs>
          <w:tab w:val="num" w:pos="360"/>
        </w:tabs>
      </w:pPr>
    </w:lvl>
    <w:lvl w:ilvl="7" w:tplc="D4A20546">
      <w:numFmt w:val="none"/>
      <w:lvlText w:val=""/>
      <w:lvlJc w:val="left"/>
      <w:pPr>
        <w:tabs>
          <w:tab w:val="num" w:pos="360"/>
        </w:tabs>
      </w:pPr>
    </w:lvl>
    <w:lvl w:ilvl="8" w:tplc="B67A13D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7061C23"/>
    <w:multiLevelType w:val="hybridMultilevel"/>
    <w:tmpl w:val="513C058A"/>
    <w:lvl w:ilvl="0" w:tplc="39EC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5B7547"/>
    <w:multiLevelType w:val="hybridMultilevel"/>
    <w:tmpl w:val="3E8CEEEA"/>
    <w:lvl w:ilvl="0" w:tplc="45D696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C8C03C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3135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726DCF"/>
    <w:multiLevelType w:val="hybridMultilevel"/>
    <w:tmpl w:val="2E643EB4"/>
    <w:lvl w:ilvl="0" w:tplc="49BC0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05840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F2299"/>
    <w:multiLevelType w:val="hybridMultilevel"/>
    <w:tmpl w:val="1F92AE8E"/>
    <w:lvl w:ilvl="0" w:tplc="E4E47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7144D"/>
    <w:multiLevelType w:val="hybridMultilevel"/>
    <w:tmpl w:val="E3E43FB6"/>
    <w:lvl w:ilvl="0" w:tplc="F85C674E">
      <w:start w:val="1"/>
      <w:numFmt w:val="decimal"/>
      <w:pStyle w:val="Sorsz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AF6408"/>
    <w:multiLevelType w:val="hybridMultilevel"/>
    <w:tmpl w:val="CA48D816"/>
    <w:lvl w:ilvl="0" w:tplc="D0F60EF6">
      <w:start w:val="3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877C6"/>
    <w:multiLevelType w:val="hybridMultilevel"/>
    <w:tmpl w:val="E4202EA2"/>
    <w:lvl w:ilvl="0" w:tplc="E43451D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AC3066C"/>
    <w:multiLevelType w:val="singleLevel"/>
    <w:tmpl w:val="4072AC22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8" w15:restartNumberingAfterBreak="0">
    <w:nsid w:val="796C6F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DC70747"/>
    <w:multiLevelType w:val="hybridMultilevel"/>
    <w:tmpl w:val="E214A9F8"/>
    <w:lvl w:ilvl="0" w:tplc="0D221AD2">
      <w:start w:val="1"/>
      <w:numFmt w:val="decimal"/>
      <w:lvlText w:val="%1."/>
      <w:lvlJc w:val="left"/>
      <w:pPr>
        <w:ind w:left="1020" w:hanging="360"/>
      </w:pPr>
    </w:lvl>
    <w:lvl w:ilvl="1" w:tplc="57083ECA">
      <w:start w:val="1"/>
      <w:numFmt w:val="decimal"/>
      <w:lvlText w:val="%2."/>
      <w:lvlJc w:val="left"/>
      <w:pPr>
        <w:ind w:left="1020" w:hanging="360"/>
      </w:pPr>
    </w:lvl>
    <w:lvl w:ilvl="2" w:tplc="48C63008">
      <w:start w:val="1"/>
      <w:numFmt w:val="decimal"/>
      <w:lvlText w:val="%3."/>
      <w:lvlJc w:val="left"/>
      <w:pPr>
        <w:ind w:left="1020" w:hanging="360"/>
      </w:pPr>
    </w:lvl>
    <w:lvl w:ilvl="3" w:tplc="299ED68E">
      <w:start w:val="1"/>
      <w:numFmt w:val="decimal"/>
      <w:lvlText w:val="%4."/>
      <w:lvlJc w:val="left"/>
      <w:pPr>
        <w:ind w:left="1020" w:hanging="360"/>
      </w:pPr>
    </w:lvl>
    <w:lvl w:ilvl="4" w:tplc="99D03468">
      <w:start w:val="1"/>
      <w:numFmt w:val="decimal"/>
      <w:lvlText w:val="%5."/>
      <w:lvlJc w:val="left"/>
      <w:pPr>
        <w:ind w:left="1020" w:hanging="360"/>
      </w:pPr>
    </w:lvl>
    <w:lvl w:ilvl="5" w:tplc="F76C9088">
      <w:start w:val="1"/>
      <w:numFmt w:val="decimal"/>
      <w:lvlText w:val="%6."/>
      <w:lvlJc w:val="left"/>
      <w:pPr>
        <w:ind w:left="1020" w:hanging="360"/>
      </w:pPr>
    </w:lvl>
    <w:lvl w:ilvl="6" w:tplc="22F2214A">
      <w:start w:val="1"/>
      <w:numFmt w:val="decimal"/>
      <w:lvlText w:val="%7."/>
      <w:lvlJc w:val="left"/>
      <w:pPr>
        <w:ind w:left="1020" w:hanging="360"/>
      </w:pPr>
    </w:lvl>
    <w:lvl w:ilvl="7" w:tplc="83AE496E">
      <w:start w:val="1"/>
      <w:numFmt w:val="decimal"/>
      <w:lvlText w:val="%8."/>
      <w:lvlJc w:val="left"/>
      <w:pPr>
        <w:ind w:left="1020" w:hanging="360"/>
      </w:pPr>
    </w:lvl>
    <w:lvl w:ilvl="8" w:tplc="725800F6">
      <w:start w:val="1"/>
      <w:numFmt w:val="decimal"/>
      <w:lvlText w:val="%9."/>
      <w:lvlJc w:val="left"/>
      <w:pPr>
        <w:ind w:left="1020" w:hanging="360"/>
      </w:pPr>
    </w:lvl>
  </w:abstractNum>
  <w:num w:numId="1" w16cid:durableId="882794576">
    <w:abstractNumId w:val="17"/>
  </w:num>
  <w:num w:numId="2" w16cid:durableId="941884305">
    <w:abstractNumId w:val="17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850" w:hanging="283"/>
        </w:pPr>
      </w:lvl>
    </w:lvlOverride>
  </w:num>
  <w:num w:numId="3" w16cid:durableId="521092394">
    <w:abstractNumId w:val="1"/>
  </w:num>
  <w:num w:numId="4" w16cid:durableId="1509372962">
    <w:abstractNumId w:val="1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851" w:hanging="283"/>
        </w:pPr>
      </w:lvl>
    </w:lvlOverride>
  </w:num>
  <w:num w:numId="5" w16cid:durableId="1049570195">
    <w:abstractNumId w:val="3"/>
  </w:num>
  <w:num w:numId="6" w16cid:durableId="1907909209">
    <w:abstractNumId w:val="11"/>
  </w:num>
  <w:num w:numId="7" w16cid:durableId="1434664953">
    <w:abstractNumId w:val="10"/>
  </w:num>
  <w:num w:numId="8" w16cid:durableId="490408594">
    <w:abstractNumId w:val="13"/>
  </w:num>
  <w:num w:numId="9" w16cid:durableId="790972817">
    <w:abstractNumId w:val="2"/>
  </w:num>
  <w:num w:numId="10" w16cid:durableId="2050838474">
    <w:abstractNumId w:val="9"/>
  </w:num>
  <w:num w:numId="11" w16cid:durableId="2030064526">
    <w:abstractNumId w:val="16"/>
  </w:num>
  <w:num w:numId="12" w16cid:durableId="653532530">
    <w:abstractNumId w:val="8"/>
  </w:num>
  <w:num w:numId="13" w16cid:durableId="1902666748">
    <w:abstractNumId w:val="12"/>
  </w:num>
  <w:num w:numId="14" w16cid:durableId="684479187">
    <w:abstractNumId w:val="14"/>
  </w:num>
  <w:num w:numId="15" w16cid:durableId="810753378">
    <w:abstractNumId w:val="18"/>
  </w:num>
  <w:num w:numId="16" w16cid:durableId="2050832200">
    <w:abstractNumId w:val="4"/>
  </w:num>
  <w:num w:numId="17" w16cid:durableId="965504273">
    <w:abstractNumId w:val="6"/>
  </w:num>
  <w:num w:numId="18" w16cid:durableId="1437389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721897380">
    <w:abstractNumId w:val="15"/>
  </w:num>
  <w:num w:numId="20" w16cid:durableId="1253709725">
    <w:abstractNumId w:val="7"/>
  </w:num>
  <w:num w:numId="21" w16cid:durableId="1172716855">
    <w:abstractNumId w:val="5"/>
  </w:num>
  <w:num w:numId="22" w16cid:durableId="427509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86"/>
    <w:rsid w:val="00011917"/>
    <w:rsid w:val="0001344E"/>
    <w:rsid w:val="00014612"/>
    <w:rsid w:val="000233DB"/>
    <w:rsid w:val="00050BA8"/>
    <w:rsid w:val="0006666C"/>
    <w:rsid w:val="0006696D"/>
    <w:rsid w:val="00074AF0"/>
    <w:rsid w:val="000754D3"/>
    <w:rsid w:val="000846C0"/>
    <w:rsid w:val="00085EE2"/>
    <w:rsid w:val="00093C9D"/>
    <w:rsid w:val="00096624"/>
    <w:rsid w:val="000A17B3"/>
    <w:rsid w:val="000B7AD5"/>
    <w:rsid w:val="000C27CA"/>
    <w:rsid w:val="000C7DBF"/>
    <w:rsid w:val="000E7339"/>
    <w:rsid w:val="000F31D5"/>
    <w:rsid w:val="000F5419"/>
    <w:rsid w:val="001075B2"/>
    <w:rsid w:val="00114E96"/>
    <w:rsid w:val="001164EC"/>
    <w:rsid w:val="001237A8"/>
    <w:rsid w:val="00126666"/>
    <w:rsid w:val="0013208A"/>
    <w:rsid w:val="0014303E"/>
    <w:rsid w:val="00151E0A"/>
    <w:rsid w:val="00155B2F"/>
    <w:rsid w:val="00165157"/>
    <w:rsid w:val="00171063"/>
    <w:rsid w:val="00180EFD"/>
    <w:rsid w:val="00183A0F"/>
    <w:rsid w:val="0019313A"/>
    <w:rsid w:val="001A2EA4"/>
    <w:rsid w:val="001A372A"/>
    <w:rsid w:val="001A6D44"/>
    <w:rsid w:val="001B1839"/>
    <w:rsid w:val="001C5C6E"/>
    <w:rsid w:val="001D113D"/>
    <w:rsid w:val="001D4E84"/>
    <w:rsid w:val="001E02D8"/>
    <w:rsid w:val="001E5E77"/>
    <w:rsid w:val="001F03B7"/>
    <w:rsid w:val="00237E6E"/>
    <w:rsid w:val="002557C2"/>
    <w:rsid w:val="00260FEA"/>
    <w:rsid w:val="00262E70"/>
    <w:rsid w:val="0026436A"/>
    <w:rsid w:val="00276B6C"/>
    <w:rsid w:val="002A1D5B"/>
    <w:rsid w:val="002A4761"/>
    <w:rsid w:val="002D0F96"/>
    <w:rsid w:val="002D45DA"/>
    <w:rsid w:val="002E3ACA"/>
    <w:rsid w:val="002F1254"/>
    <w:rsid w:val="002F7C93"/>
    <w:rsid w:val="0030131A"/>
    <w:rsid w:val="00313276"/>
    <w:rsid w:val="003178AF"/>
    <w:rsid w:val="0032218F"/>
    <w:rsid w:val="00331694"/>
    <w:rsid w:val="00342227"/>
    <w:rsid w:val="00343B55"/>
    <w:rsid w:val="003501D6"/>
    <w:rsid w:val="0035457A"/>
    <w:rsid w:val="003561F8"/>
    <w:rsid w:val="00360E93"/>
    <w:rsid w:val="00385627"/>
    <w:rsid w:val="0039485D"/>
    <w:rsid w:val="003C237D"/>
    <w:rsid w:val="003E434F"/>
    <w:rsid w:val="003E4BD1"/>
    <w:rsid w:val="003E55C4"/>
    <w:rsid w:val="003F075B"/>
    <w:rsid w:val="0040569E"/>
    <w:rsid w:val="00406294"/>
    <w:rsid w:val="00406AAF"/>
    <w:rsid w:val="00407DB4"/>
    <w:rsid w:val="00416784"/>
    <w:rsid w:val="00421E56"/>
    <w:rsid w:val="0042350B"/>
    <w:rsid w:val="00426122"/>
    <w:rsid w:val="0042731C"/>
    <w:rsid w:val="00441293"/>
    <w:rsid w:val="004547BD"/>
    <w:rsid w:val="0045605C"/>
    <w:rsid w:val="004575AF"/>
    <w:rsid w:val="004A4B21"/>
    <w:rsid w:val="004C268A"/>
    <w:rsid w:val="004D700B"/>
    <w:rsid w:val="004F16FB"/>
    <w:rsid w:val="004F2CDF"/>
    <w:rsid w:val="00513C47"/>
    <w:rsid w:val="00525F22"/>
    <w:rsid w:val="00527E68"/>
    <w:rsid w:val="005310D3"/>
    <w:rsid w:val="005326CF"/>
    <w:rsid w:val="00537AC9"/>
    <w:rsid w:val="00543366"/>
    <w:rsid w:val="00546926"/>
    <w:rsid w:val="005701AB"/>
    <w:rsid w:val="00570B03"/>
    <w:rsid w:val="00591797"/>
    <w:rsid w:val="005A56A8"/>
    <w:rsid w:val="005A6FBF"/>
    <w:rsid w:val="005D40DF"/>
    <w:rsid w:val="005D4DB3"/>
    <w:rsid w:val="005F24A8"/>
    <w:rsid w:val="0062092D"/>
    <w:rsid w:val="006339EF"/>
    <w:rsid w:val="00642254"/>
    <w:rsid w:val="00656326"/>
    <w:rsid w:val="00686480"/>
    <w:rsid w:val="006944DF"/>
    <w:rsid w:val="006D6CB2"/>
    <w:rsid w:val="006F20A2"/>
    <w:rsid w:val="006F29EF"/>
    <w:rsid w:val="00723F57"/>
    <w:rsid w:val="00730D18"/>
    <w:rsid w:val="007468F0"/>
    <w:rsid w:val="00765390"/>
    <w:rsid w:val="00773950"/>
    <w:rsid w:val="00774828"/>
    <w:rsid w:val="00791CC3"/>
    <w:rsid w:val="007A4749"/>
    <w:rsid w:val="007A6D62"/>
    <w:rsid w:val="007C2D31"/>
    <w:rsid w:val="007D0B41"/>
    <w:rsid w:val="007D686A"/>
    <w:rsid w:val="007E14D3"/>
    <w:rsid w:val="007E2FC1"/>
    <w:rsid w:val="008001AF"/>
    <w:rsid w:val="00801F99"/>
    <w:rsid w:val="00813F7A"/>
    <w:rsid w:val="00815082"/>
    <w:rsid w:val="00816D9B"/>
    <w:rsid w:val="00826A8F"/>
    <w:rsid w:val="00827986"/>
    <w:rsid w:val="00833FB5"/>
    <w:rsid w:val="0083628F"/>
    <w:rsid w:val="00853BCF"/>
    <w:rsid w:val="00855050"/>
    <w:rsid w:val="008F60B8"/>
    <w:rsid w:val="00903AC0"/>
    <w:rsid w:val="009250D7"/>
    <w:rsid w:val="00930655"/>
    <w:rsid w:val="00931FCC"/>
    <w:rsid w:val="00962908"/>
    <w:rsid w:val="00972C5C"/>
    <w:rsid w:val="0098774D"/>
    <w:rsid w:val="009C78D4"/>
    <w:rsid w:val="009D12DB"/>
    <w:rsid w:val="009D247F"/>
    <w:rsid w:val="009F29ED"/>
    <w:rsid w:val="009F725F"/>
    <w:rsid w:val="00A1224F"/>
    <w:rsid w:val="00A30F45"/>
    <w:rsid w:val="00A54A26"/>
    <w:rsid w:val="00A63B26"/>
    <w:rsid w:val="00A6562D"/>
    <w:rsid w:val="00AA4E09"/>
    <w:rsid w:val="00AA4E5A"/>
    <w:rsid w:val="00AC2D57"/>
    <w:rsid w:val="00AD212B"/>
    <w:rsid w:val="00AE3654"/>
    <w:rsid w:val="00B200D9"/>
    <w:rsid w:val="00B36C1E"/>
    <w:rsid w:val="00B7626E"/>
    <w:rsid w:val="00BA01FE"/>
    <w:rsid w:val="00BA1126"/>
    <w:rsid w:val="00BA3F03"/>
    <w:rsid w:val="00BB4F8C"/>
    <w:rsid w:val="00BC1583"/>
    <w:rsid w:val="00BD38BC"/>
    <w:rsid w:val="00BD4AC9"/>
    <w:rsid w:val="00BF02DF"/>
    <w:rsid w:val="00BF4FAC"/>
    <w:rsid w:val="00BF552D"/>
    <w:rsid w:val="00C00B53"/>
    <w:rsid w:val="00C05D74"/>
    <w:rsid w:val="00C07686"/>
    <w:rsid w:val="00C230C4"/>
    <w:rsid w:val="00C31EC2"/>
    <w:rsid w:val="00C33541"/>
    <w:rsid w:val="00C47247"/>
    <w:rsid w:val="00C56503"/>
    <w:rsid w:val="00C63894"/>
    <w:rsid w:val="00CA33C2"/>
    <w:rsid w:val="00CA4C1E"/>
    <w:rsid w:val="00CC0793"/>
    <w:rsid w:val="00CD1452"/>
    <w:rsid w:val="00CF1E47"/>
    <w:rsid w:val="00D07642"/>
    <w:rsid w:val="00D22EE2"/>
    <w:rsid w:val="00D3284E"/>
    <w:rsid w:val="00D37C0B"/>
    <w:rsid w:val="00D4063C"/>
    <w:rsid w:val="00D45A9B"/>
    <w:rsid w:val="00D5180E"/>
    <w:rsid w:val="00D56570"/>
    <w:rsid w:val="00D5729B"/>
    <w:rsid w:val="00D74535"/>
    <w:rsid w:val="00DC7500"/>
    <w:rsid w:val="00DD2064"/>
    <w:rsid w:val="00DD78C7"/>
    <w:rsid w:val="00DE1CF4"/>
    <w:rsid w:val="00DF608F"/>
    <w:rsid w:val="00E0046C"/>
    <w:rsid w:val="00E0437F"/>
    <w:rsid w:val="00E137D5"/>
    <w:rsid w:val="00E15F9A"/>
    <w:rsid w:val="00E26991"/>
    <w:rsid w:val="00E6152D"/>
    <w:rsid w:val="00E64961"/>
    <w:rsid w:val="00E73662"/>
    <w:rsid w:val="00E73755"/>
    <w:rsid w:val="00E83A40"/>
    <w:rsid w:val="00E945B8"/>
    <w:rsid w:val="00EA5D0E"/>
    <w:rsid w:val="00EB4D7B"/>
    <w:rsid w:val="00EC678D"/>
    <w:rsid w:val="00EC7225"/>
    <w:rsid w:val="00ED0BFC"/>
    <w:rsid w:val="00F1472B"/>
    <w:rsid w:val="00F77D43"/>
    <w:rsid w:val="00F80552"/>
    <w:rsid w:val="00F80CEE"/>
    <w:rsid w:val="00F84075"/>
    <w:rsid w:val="00F87558"/>
    <w:rsid w:val="00F90DE0"/>
    <w:rsid w:val="00FA3183"/>
    <w:rsid w:val="00FA4A31"/>
    <w:rsid w:val="00FA79CE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4C9CD"/>
  <w15:docId w15:val="{8F027F55-6F70-40BE-ACD6-3AB0AB06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612"/>
    <w:rPr>
      <w:lang w:eastAsia="en-US"/>
    </w:rPr>
  </w:style>
  <w:style w:type="paragraph" w:styleId="Heading1">
    <w:name w:val="heading 1"/>
    <w:basedOn w:val="Normal"/>
    <w:next w:val="Normal"/>
    <w:qFormat/>
    <w:rsid w:val="00014612"/>
    <w:pPr>
      <w:keepNext/>
      <w:jc w:val="both"/>
      <w:outlineLvl w:val="0"/>
    </w:pPr>
    <w:rPr>
      <w:rFonts w:ascii="L Centennial 45 Light" w:hAnsi="L Centennial 45 Light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14612"/>
  </w:style>
  <w:style w:type="paragraph" w:styleId="Header">
    <w:name w:val="header"/>
    <w:basedOn w:val="Normal"/>
    <w:rsid w:val="00014612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rsid w:val="00014612"/>
    <w:pPr>
      <w:tabs>
        <w:tab w:val="center" w:pos="4153"/>
        <w:tab w:val="right" w:pos="8306"/>
      </w:tabs>
    </w:pPr>
    <w:rPr>
      <w:rFonts w:ascii="H-Times New Roman" w:hAnsi="H-Times New Roman"/>
      <w:sz w:val="24"/>
      <w:lang w:val="en-GB"/>
    </w:rPr>
  </w:style>
  <w:style w:type="paragraph" w:styleId="Title">
    <w:name w:val="Title"/>
    <w:basedOn w:val="Normal"/>
    <w:qFormat/>
    <w:rsid w:val="00014612"/>
    <w:pPr>
      <w:spacing w:after="360"/>
      <w:jc w:val="center"/>
    </w:pPr>
    <w:rPr>
      <w:rFonts w:ascii="Times-CEMK" w:hAnsi="Times-CEMK"/>
      <w:sz w:val="32"/>
      <w:lang w:val="en-GB"/>
    </w:rPr>
  </w:style>
  <w:style w:type="paragraph" w:styleId="FootnoteText">
    <w:name w:val="footnote text"/>
    <w:basedOn w:val="Normal"/>
    <w:semiHidden/>
    <w:rsid w:val="00014612"/>
    <w:rPr>
      <w:rFonts w:ascii="H-Times New Roman" w:hAnsi="H-Times New Roman"/>
      <w:lang w:val="en-GB"/>
    </w:rPr>
  </w:style>
  <w:style w:type="character" w:styleId="FootnoteReference">
    <w:name w:val="footnote reference"/>
    <w:semiHidden/>
    <w:rsid w:val="00014612"/>
    <w:rPr>
      <w:vertAlign w:val="superscript"/>
    </w:rPr>
  </w:style>
  <w:style w:type="paragraph" w:styleId="BodyTextIndent3">
    <w:name w:val="Body Text Indent 3"/>
    <w:basedOn w:val="Normal"/>
    <w:rsid w:val="00014612"/>
    <w:pPr>
      <w:ind w:left="426" w:hanging="426"/>
      <w:jc w:val="both"/>
    </w:pPr>
    <w:rPr>
      <w:sz w:val="24"/>
      <w:lang w:val="en-GB"/>
    </w:rPr>
  </w:style>
  <w:style w:type="paragraph" w:styleId="BodyTextIndent">
    <w:name w:val="Body Text Indent"/>
    <w:basedOn w:val="Normal"/>
    <w:rsid w:val="00014612"/>
    <w:pPr>
      <w:ind w:left="900" w:hanging="540"/>
    </w:pPr>
    <w:rPr>
      <w:rFonts w:ascii="L Centennial 45 Light" w:hAnsi="L Centennial 45 Light"/>
      <w:i/>
      <w:iCs/>
    </w:rPr>
  </w:style>
  <w:style w:type="paragraph" w:styleId="BodyTextIndent2">
    <w:name w:val="Body Text Indent 2"/>
    <w:basedOn w:val="Normal"/>
    <w:rsid w:val="00014612"/>
    <w:pPr>
      <w:ind w:left="360"/>
    </w:pPr>
    <w:rPr>
      <w:rFonts w:ascii="L Centennial 45 Light" w:hAnsi="L Centennial 45 Light"/>
    </w:rPr>
  </w:style>
  <w:style w:type="paragraph" w:styleId="BodyText">
    <w:name w:val="Body Text"/>
    <w:basedOn w:val="Normal"/>
    <w:rsid w:val="00014612"/>
    <w:pPr>
      <w:jc w:val="both"/>
    </w:pPr>
    <w:rPr>
      <w:rFonts w:ascii="L Centennial 45 Light" w:hAnsi="L Centennial 45 Light"/>
      <w:i/>
      <w:iCs/>
    </w:rPr>
  </w:style>
  <w:style w:type="paragraph" w:styleId="BodyText2">
    <w:name w:val="Body Text 2"/>
    <w:basedOn w:val="Normal"/>
    <w:rsid w:val="00014612"/>
    <w:rPr>
      <w:rFonts w:ascii="L Centennial 45 Light" w:hAnsi="L Centennial 45 Light"/>
      <w:lang w:val="de-DE"/>
    </w:rPr>
  </w:style>
  <w:style w:type="paragraph" w:customStyle="1" w:styleId="Sorszm">
    <w:name w:val="Sorszám"/>
    <w:rsid w:val="00014612"/>
    <w:pPr>
      <w:numPr>
        <w:numId w:val="14"/>
      </w:numPr>
      <w:spacing w:after="120"/>
    </w:pPr>
    <w:rPr>
      <w:rFonts w:ascii="L Centennial 45 Light" w:hAnsi="L Centennial 45 Light"/>
      <w:lang w:eastAsia="en-US"/>
    </w:rPr>
  </w:style>
  <w:style w:type="paragraph" w:styleId="BalloonText">
    <w:name w:val="Balloon Text"/>
    <w:basedOn w:val="Normal"/>
    <w:semiHidden/>
    <w:rsid w:val="00014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F2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24A8"/>
  </w:style>
  <w:style w:type="character" w:customStyle="1" w:styleId="CommentTextChar">
    <w:name w:val="Comment Text Char"/>
    <w:link w:val="CommentText"/>
    <w:rsid w:val="005F24A8"/>
    <w:rPr>
      <w:lang w:val="hu-HU"/>
    </w:rPr>
  </w:style>
  <w:style w:type="paragraph" w:styleId="ListParagraph">
    <w:name w:val="List Paragraph"/>
    <w:basedOn w:val="Normal"/>
    <w:uiPriority w:val="34"/>
    <w:qFormat/>
    <w:rsid w:val="005701AB"/>
    <w:pPr>
      <w:ind w:left="720"/>
    </w:pPr>
  </w:style>
  <w:style w:type="paragraph" w:styleId="Revision">
    <w:name w:val="Revision"/>
    <w:hidden/>
    <w:uiPriority w:val="99"/>
    <w:semiHidden/>
    <w:rsid w:val="0068648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3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3AC0"/>
    <w:rPr>
      <w:b/>
      <w:bCs/>
      <w:lang w:val="hu-HU" w:eastAsia="en-US"/>
    </w:rPr>
  </w:style>
  <w:style w:type="character" w:styleId="Hyperlink">
    <w:name w:val="Hyperlink"/>
    <w:basedOn w:val="DefaultParagraphFont"/>
    <w:unhideWhenUsed/>
    <w:rsid w:val="00457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F3BD-9833-46A1-9099-D2F1C33B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2365</Words>
  <Characters>16323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Számlaszerződés</vt:lpstr>
    </vt:vector>
  </TitlesOfParts>
  <Company>Ügyvédi Iroda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Számlaszerződés</dc:title>
  <dc:creator>Dr. Horváth Gábor</dc:creator>
  <cp:lastModifiedBy>Kern Péter Mihály (UniCredit Bank – H)</cp:lastModifiedBy>
  <cp:revision>4</cp:revision>
  <cp:lastPrinted>2008-03-04T10:35:00Z</cp:lastPrinted>
  <dcterms:created xsi:type="dcterms:W3CDTF">2025-11-26T10:59:00Z</dcterms:created>
  <dcterms:modified xsi:type="dcterms:W3CDTF">2026-01-20T12:41:00Z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2022-04-26T14:04:18Z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6ae0d3cb-7d70-4c48-b6c0-92594acfb1e3</vt:lpwstr>
  </property>
  <property fmtid="{D5CDD505-2E9C-101B-9397-08002B2CF9AE}" pid="8" name="MSIP_Label_29db9e61-aac5-4f6e-805d-ceb8cb9983a1_ContentBits">
    <vt:lpwstr>0</vt:lpwstr>
  </property>
</Properties>
</file>