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D7A6" w14:textId="77777777" w:rsidR="007B01D1" w:rsidRPr="00554A8B" w:rsidRDefault="007B01D1" w:rsidP="007B01D1">
      <w:pPr>
        <w:jc w:val="right"/>
        <w:rPr>
          <w:rFonts w:ascii="Arial" w:hAnsi="Arial" w:cs="Arial"/>
        </w:rPr>
      </w:pPr>
      <w:r w:rsidRPr="00554A8B">
        <w:rPr>
          <w:rFonts w:ascii="Code 128" w:hAnsi="Code 128"/>
          <w:sz w:val="80"/>
          <w:szCs w:val="80"/>
        </w:rPr>
        <w:t>Ì</w:t>
      </w:r>
      <w:bookmarkStart w:id="0" w:name="BarCodeWithCheckSum"/>
      <w:bookmarkEnd w:id="0"/>
      <w:r w:rsidRPr="00554A8B">
        <w:rPr>
          <w:rFonts w:ascii="Code 128" w:hAnsi="Code 128"/>
          <w:sz w:val="80"/>
          <w:szCs w:val="80"/>
        </w:rPr>
        <w:t>Î</w:t>
      </w:r>
    </w:p>
    <w:p w14:paraId="599FF510" w14:textId="77777777" w:rsidR="007B01D1" w:rsidRDefault="007B01D1" w:rsidP="007B01D1">
      <w:pPr>
        <w:ind w:right="187"/>
        <w:jc w:val="right"/>
        <w:rPr>
          <w:rFonts w:ascii="Arial" w:hAnsi="Arial" w:cs="Arial"/>
        </w:rPr>
      </w:pPr>
      <w:bookmarkStart w:id="1" w:name="BarCode"/>
      <w:bookmarkEnd w:id="1"/>
    </w:p>
    <w:p w14:paraId="68894718" w14:textId="77777777" w:rsidR="007B01D1" w:rsidRDefault="007B01D1" w:rsidP="00715D78">
      <w:pPr>
        <w:pStyle w:val="Title"/>
        <w:spacing w:after="0"/>
        <w:outlineLvl w:val="0"/>
        <w:rPr>
          <w:rFonts w:ascii="Arial" w:hAnsi="Arial" w:cs="Arial"/>
          <w:sz w:val="20"/>
        </w:rPr>
      </w:pPr>
    </w:p>
    <w:p w14:paraId="75794D37" w14:textId="4646D927" w:rsidR="00A952B4" w:rsidRPr="006A1297" w:rsidRDefault="00570D97" w:rsidP="00715D78">
      <w:pPr>
        <w:pStyle w:val="Title"/>
        <w:spacing w:after="0"/>
        <w:outlineLvl w:val="0"/>
        <w:rPr>
          <w:rFonts w:ascii="Arial" w:hAnsi="Arial" w:cs="Arial"/>
          <w:sz w:val="20"/>
        </w:rPr>
      </w:pPr>
      <w:r>
        <w:rPr>
          <w:rFonts w:ascii="Arial" w:hAnsi="Arial" w:cs="Arial"/>
          <w:sz w:val="20"/>
        </w:rPr>
        <w:t>PENSION</w:t>
      </w:r>
      <w:r w:rsidR="00A952B4" w:rsidRPr="006A1297">
        <w:rPr>
          <w:rFonts w:ascii="Arial" w:hAnsi="Arial" w:cs="Arial"/>
          <w:sz w:val="20"/>
        </w:rPr>
        <w:t xml:space="preserve"> SAVINGS ACCOUNT AGREEMENT </w:t>
      </w:r>
    </w:p>
    <w:p w14:paraId="49942D97" w14:textId="48447841" w:rsidR="00A952B4" w:rsidRPr="006A1297" w:rsidRDefault="00A952B4" w:rsidP="00715D78">
      <w:pPr>
        <w:pStyle w:val="Title"/>
        <w:spacing w:after="0"/>
        <w:outlineLvl w:val="0"/>
        <w:rPr>
          <w:rFonts w:ascii="Arial" w:hAnsi="Arial" w:cs="Arial"/>
          <w:b w:val="0"/>
          <w:i/>
          <w:iCs/>
          <w:sz w:val="20"/>
        </w:rPr>
      </w:pPr>
      <w:r w:rsidRPr="006A1297">
        <w:rPr>
          <w:rFonts w:ascii="Arial" w:hAnsi="Arial" w:cs="Arial"/>
          <w:sz w:val="20"/>
        </w:rPr>
        <w:t xml:space="preserve">(the </w:t>
      </w:r>
      <w:r w:rsidR="00736D4B">
        <w:rPr>
          <w:rFonts w:ascii="Arial" w:hAnsi="Arial" w:cs="Arial"/>
          <w:sz w:val="20"/>
        </w:rPr>
        <w:t>P</w:t>
      </w:r>
      <w:r w:rsidRPr="006A1297">
        <w:rPr>
          <w:rFonts w:ascii="Arial" w:hAnsi="Arial" w:cs="Arial"/>
          <w:sz w:val="20"/>
        </w:rPr>
        <w:t>SA Agreement)</w:t>
      </w:r>
    </w:p>
    <w:p w14:paraId="54A5E860" w14:textId="77777777" w:rsidR="00A952B4" w:rsidRPr="006A1297" w:rsidRDefault="00A952B4">
      <w:pPr>
        <w:jc w:val="both"/>
        <w:rPr>
          <w:rFonts w:ascii="Arial" w:hAnsi="Arial" w:cs="Arial"/>
          <w:lang w:val="en-GB"/>
        </w:rPr>
      </w:pPr>
    </w:p>
    <w:p w14:paraId="7BD081A3" w14:textId="77777777" w:rsidR="00A952B4" w:rsidRPr="006A1297" w:rsidRDefault="00A952B4">
      <w:pPr>
        <w:jc w:val="both"/>
        <w:rPr>
          <w:rFonts w:ascii="Arial" w:hAnsi="Arial" w:cs="Arial"/>
          <w:lang w:val="en-GB"/>
        </w:rPr>
      </w:pPr>
      <w:r w:rsidRPr="006A1297">
        <w:rPr>
          <w:rFonts w:ascii="Arial" w:hAnsi="Arial" w:cs="Arial"/>
          <w:lang w:val="en-GB"/>
        </w:rPr>
        <w:t>concluded by and between</w:t>
      </w:r>
    </w:p>
    <w:p w14:paraId="090A5775" w14:textId="77777777" w:rsidR="00A952B4" w:rsidRPr="006A1297" w:rsidRDefault="00A952B4">
      <w:pPr>
        <w:jc w:val="both"/>
        <w:rPr>
          <w:rFonts w:ascii="Arial" w:hAnsi="Arial" w:cs="Arial"/>
          <w:b/>
          <w:bCs/>
          <w:lang w:val="en-GB"/>
        </w:rPr>
      </w:pPr>
    </w:p>
    <w:tbl>
      <w:tblPr>
        <w:tblW w:w="6300" w:type="dxa"/>
        <w:jc w:val="center"/>
        <w:tblLook w:val="0000" w:firstRow="0" w:lastRow="0" w:firstColumn="0" w:lastColumn="0" w:noHBand="0" w:noVBand="0"/>
      </w:tblPr>
      <w:tblGrid>
        <w:gridCol w:w="1986"/>
        <w:gridCol w:w="4314"/>
      </w:tblGrid>
      <w:tr w:rsidR="00A952B4" w:rsidRPr="006A1297" w14:paraId="188DD2BC" w14:textId="77777777">
        <w:trPr>
          <w:jc w:val="center"/>
        </w:trPr>
        <w:tc>
          <w:tcPr>
            <w:tcW w:w="6300" w:type="dxa"/>
            <w:gridSpan w:val="2"/>
          </w:tcPr>
          <w:p w14:paraId="6CC9E61D" w14:textId="77777777" w:rsidR="00A952B4" w:rsidRPr="006A1297" w:rsidRDefault="00A952B4">
            <w:pPr>
              <w:ind w:left="-108"/>
              <w:jc w:val="center"/>
              <w:rPr>
                <w:rFonts w:ascii="Arial" w:hAnsi="Arial" w:cs="Arial"/>
                <w:bCs/>
                <w:lang w:val="en-GB"/>
              </w:rPr>
            </w:pPr>
            <w:r w:rsidRPr="006A1297">
              <w:rPr>
                <w:rFonts w:ascii="Arial" w:hAnsi="Arial" w:cs="Arial"/>
                <w:b/>
                <w:bCs/>
                <w:lang w:val="en-GB"/>
              </w:rPr>
              <w:t xml:space="preserve">UniCredit Bank Hungary </w:t>
            </w:r>
            <w:proofErr w:type="spellStart"/>
            <w:r w:rsidRPr="006A1297">
              <w:rPr>
                <w:rFonts w:ascii="Arial" w:hAnsi="Arial" w:cs="Arial"/>
                <w:b/>
                <w:bCs/>
                <w:lang w:val="en-GB"/>
              </w:rPr>
              <w:t>Zrt</w:t>
            </w:r>
            <w:proofErr w:type="spellEnd"/>
            <w:r w:rsidRPr="006A1297">
              <w:rPr>
                <w:rFonts w:ascii="Arial" w:hAnsi="Arial" w:cs="Arial"/>
                <w:b/>
                <w:bCs/>
                <w:lang w:val="en-GB"/>
              </w:rPr>
              <w:t>.</w:t>
            </w:r>
          </w:p>
        </w:tc>
      </w:tr>
      <w:tr w:rsidR="00A952B4" w:rsidRPr="006A1297" w14:paraId="4665BF27" w14:textId="77777777">
        <w:trPr>
          <w:jc w:val="center"/>
        </w:trPr>
        <w:tc>
          <w:tcPr>
            <w:tcW w:w="1986" w:type="dxa"/>
          </w:tcPr>
          <w:p w14:paraId="13DA34DD" w14:textId="77777777" w:rsidR="00A952B4" w:rsidRPr="006A1297" w:rsidRDefault="00A952B4">
            <w:pPr>
              <w:ind w:left="72" w:hanging="72"/>
              <w:rPr>
                <w:rFonts w:ascii="Arial" w:hAnsi="Arial" w:cs="Arial"/>
                <w:lang w:val="en-GB"/>
              </w:rPr>
            </w:pPr>
            <w:r w:rsidRPr="006A1297">
              <w:rPr>
                <w:rFonts w:ascii="Arial" w:hAnsi="Arial" w:cs="Arial"/>
                <w:lang w:val="en-GB"/>
              </w:rPr>
              <w:t>Registered address:</w:t>
            </w:r>
          </w:p>
        </w:tc>
        <w:tc>
          <w:tcPr>
            <w:tcW w:w="4314" w:type="dxa"/>
          </w:tcPr>
          <w:p w14:paraId="352ACF76" w14:textId="77777777" w:rsidR="00A952B4" w:rsidRPr="006A1297" w:rsidRDefault="00A952B4">
            <w:pPr>
              <w:ind w:left="72" w:hanging="72"/>
              <w:rPr>
                <w:rFonts w:ascii="Arial" w:hAnsi="Arial" w:cs="Arial"/>
                <w:lang w:val="en-GB"/>
              </w:rPr>
            </w:pPr>
            <w:r w:rsidRPr="006A1297">
              <w:rPr>
                <w:rFonts w:ascii="Arial" w:hAnsi="Arial" w:cs="Arial"/>
                <w:lang w:val="en-GB"/>
              </w:rPr>
              <w:t xml:space="preserve">H–1054 Budapest, </w:t>
            </w:r>
            <w:proofErr w:type="spellStart"/>
            <w:r w:rsidRPr="006A1297">
              <w:rPr>
                <w:rFonts w:ascii="Arial" w:hAnsi="Arial" w:cs="Arial"/>
                <w:lang w:val="en-GB"/>
              </w:rPr>
              <w:t>Szabadság</w:t>
            </w:r>
            <w:proofErr w:type="spellEnd"/>
            <w:r w:rsidRPr="006A1297">
              <w:rPr>
                <w:rFonts w:ascii="Arial" w:hAnsi="Arial" w:cs="Arial"/>
                <w:lang w:val="en-GB"/>
              </w:rPr>
              <w:t xml:space="preserve"> </w:t>
            </w:r>
            <w:proofErr w:type="spellStart"/>
            <w:r w:rsidRPr="006A1297">
              <w:rPr>
                <w:rFonts w:ascii="Arial" w:hAnsi="Arial" w:cs="Arial"/>
                <w:lang w:val="en-GB"/>
              </w:rPr>
              <w:t>tér</w:t>
            </w:r>
            <w:proofErr w:type="spellEnd"/>
            <w:r w:rsidRPr="006A1297">
              <w:rPr>
                <w:rFonts w:ascii="Arial" w:hAnsi="Arial" w:cs="Arial"/>
                <w:lang w:val="en-GB"/>
              </w:rPr>
              <w:t xml:space="preserve"> 5-6</w:t>
            </w:r>
          </w:p>
        </w:tc>
      </w:tr>
      <w:tr w:rsidR="00A952B4" w:rsidRPr="006A1297" w14:paraId="7AB4B776" w14:textId="77777777">
        <w:trPr>
          <w:jc w:val="center"/>
        </w:trPr>
        <w:tc>
          <w:tcPr>
            <w:tcW w:w="1986" w:type="dxa"/>
          </w:tcPr>
          <w:p w14:paraId="48631A7A" w14:textId="77777777" w:rsidR="00A952B4" w:rsidRPr="006A1297" w:rsidRDefault="00A952B4">
            <w:pPr>
              <w:ind w:left="72" w:hanging="72"/>
              <w:rPr>
                <w:rFonts w:ascii="Arial" w:hAnsi="Arial" w:cs="Arial"/>
                <w:lang w:val="en-GB"/>
              </w:rPr>
            </w:pPr>
            <w:r w:rsidRPr="006A1297">
              <w:rPr>
                <w:rFonts w:ascii="Arial" w:hAnsi="Arial" w:cs="Arial"/>
                <w:lang w:val="en-GB"/>
              </w:rPr>
              <w:t>Company registration number:</w:t>
            </w:r>
          </w:p>
        </w:tc>
        <w:tc>
          <w:tcPr>
            <w:tcW w:w="4314" w:type="dxa"/>
          </w:tcPr>
          <w:p w14:paraId="1CFB95F6" w14:textId="77777777" w:rsidR="00A952B4" w:rsidRPr="006A1297" w:rsidRDefault="00A952B4">
            <w:pPr>
              <w:ind w:left="72" w:hanging="72"/>
              <w:rPr>
                <w:rFonts w:ascii="Arial" w:hAnsi="Arial" w:cs="Arial"/>
                <w:lang w:val="en-GB"/>
              </w:rPr>
            </w:pPr>
            <w:r w:rsidRPr="006A1297">
              <w:rPr>
                <w:rFonts w:ascii="Arial" w:hAnsi="Arial" w:cs="Arial"/>
                <w:lang w:val="en-GB"/>
              </w:rPr>
              <w:t>Cg. 01-10-041348</w:t>
            </w:r>
          </w:p>
        </w:tc>
      </w:tr>
      <w:tr w:rsidR="00A952B4" w:rsidRPr="006A1297" w14:paraId="4BC9AD58" w14:textId="77777777">
        <w:trPr>
          <w:jc w:val="center"/>
        </w:trPr>
        <w:tc>
          <w:tcPr>
            <w:tcW w:w="6300" w:type="dxa"/>
            <w:gridSpan w:val="2"/>
          </w:tcPr>
          <w:p w14:paraId="01EF1372" w14:textId="77777777" w:rsidR="00A952B4" w:rsidRPr="006A1297" w:rsidRDefault="00A952B4">
            <w:pPr>
              <w:ind w:left="-108"/>
              <w:jc w:val="center"/>
              <w:rPr>
                <w:rFonts w:ascii="Arial" w:hAnsi="Arial" w:cs="Arial"/>
                <w:color w:val="000000"/>
                <w:lang w:val="en-GB"/>
              </w:rPr>
            </w:pPr>
            <w:r w:rsidRPr="006A1297">
              <w:rPr>
                <w:rFonts w:ascii="Arial" w:hAnsi="Arial" w:cs="Arial"/>
                <w:lang w:val="en-GB"/>
              </w:rPr>
              <w:t xml:space="preserve">as Bank (hereinafter: </w:t>
            </w:r>
            <w:r w:rsidRPr="006A1297">
              <w:rPr>
                <w:rFonts w:ascii="Arial" w:hAnsi="Arial" w:cs="Arial"/>
                <w:b/>
                <w:lang w:val="en-GB"/>
              </w:rPr>
              <w:t>the “Bank”</w:t>
            </w:r>
            <w:r w:rsidRPr="006A1297">
              <w:rPr>
                <w:rFonts w:ascii="Arial" w:hAnsi="Arial" w:cs="Arial"/>
                <w:lang w:val="en-GB"/>
              </w:rPr>
              <w:t>)</w:t>
            </w:r>
          </w:p>
        </w:tc>
      </w:tr>
    </w:tbl>
    <w:p w14:paraId="130BD3E7" w14:textId="77777777" w:rsidR="00A952B4" w:rsidRPr="006A1297" w:rsidRDefault="00A952B4">
      <w:pPr>
        <w:ind w:right="135"/>
        <w:rPr>
          <w:rFonts w:ascii="Arial" w:hAnsi="Arial" w:cs="Arial"/>
          <w:lang w:val="en-GB"/>
        </w:rPr>
      </w:pPr>
    </w:p>
    <w:p w14:paraId="47CD019C" w14:textId="77777777" w:rsidR="00A952B4" w:rsidRPr="006A1297" w:rsidRDefault="00A952B4">
      <w:pPr>
        <w:ind w:right="136"/>
        <w:rPr>
          <w:rFonts w:ascii="Arial" w:hAnsi="Arial" w:cs="Arial"/>
          <w:lang w:val="en-GB"/>
        </w:rPr>
      </w:pPr>
      <w:r w:rsidRPr="006A1297">
        <w:rPr>
          <w:rFonts w:ascii="Arial" w:hAnsi="Arial" w:cs="Arial"/>
          <w:lang w:val="en-GB"/>
        </w:rPr>
        <w:t xml:space="preserve">and </w:t>
      </w:r>
    </w:p>
    <w:p w14:paraId="1EC39C75" w14:textId="77777777" w:rsidR="00A952B4" w:rsidRPr="006A1297" w:rsidRDefault="00A952B4">
      <w:pPr>
        <w:ind w:right="136"/>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693"/>
        <w:gridCol w:w="1134"/>
        <w:gridCol w:w="2803"/>
        <w:gridCol w:w="12"/>
      </w:tblGrid>
      <w:tr w:rsidR="00A952B4" w:rsidRPr="006A1297" w14:paraId="64206CD9" w14:textId="77777777" w:rsidTr="00892238">
        <w:trPr>
          <w:gridAfter w:val="1"/>
          <w:wAfter w:w="12" w:type="dxa"/>
        </w:trPr>
        <w:tc>
          <w:tcPr>
            <w:tcW w:w="2538" w:type="dxa"/>
          </w:tcPr>
          <w:p w14:paraId="6C268683" w14:textId="07767C96" w:rsidR="00A952B4" w:rsidRPr="006A1297" w:rsidRDefault="00A952B4">
            <w:pPr>
              <w:rPr>
                <w:rFonts w:ascii="Arial" w:hAnsi="Arial" w:cs="Arial"/>
                <w:lang w:val="en-GB"/>
              </w:rPr>
            </w:pPr>
            <w:r w:rsidRPr="006A1297">
              <w:rPr>
                <w:rFonts w:ascii="Arial" w:hAnsi="Arial" w:cs="Arial"/>
                <w:b/>
                <w:lang w:val="en-GB"/>
              </w:rPr>
              <w:t>Name:</w:t>
            </w:r>
          </w:p>
        </w:tc>
        <w:tc>
          <w:tcPr>
            <w:tcW w:w="6630" w:type="dxa"/>
            <w:gridSpan w:val="3"/>
          </w:tcPr>
          <w:p w14:paraId="1F503C27" w14:textId="67963612" w:rsidR="00A952B4" w:rsidRPr="006A1297" w:rsidRDefault="00A952B4">
            <w:pPr>
              <w:rPr>
                <w:rFonts w:ascii="Arial" w:hAnsi="Arial" w:cs="Arial"/>
                <w:lang w:val="en-GB"/>
              </w:rPr>
            </w:pPr>
            <w:bookmarkStart w:id="2" w:name="UGYFEL_TeljesNev"/>
            <w:bookmarkEnd w:id="2"/>
          </w:p>
        </w:tc>
      </w:tr>
      <w:tr w:rsidR="00A952B4" w:rsidRPr="006A1297" w14:paraId="2DA38335" w14:textId="77777777" w:rsidTr="00892238">
        <w:trPr>
          <w:gridAfter w:val="1"/>
          <w:wAfter w:w="12" w:type="dxa"/>
        </w:trPr>
        <w:tc>
          <w:tcPr>
            <w:tcW w:w="2538" w:type="dxa"/>
          </w:tcPr>
          <w:p w14:paraId="4AFCA204" w14:textId="5878A6D9" w:rsidR="00A952B4" w:rsidRPr="006A1297" w:rsidRDefault="00892238">
            <w:pPr>
              <w:rPr>
                <w:rFonts w:ascii="Arial" w:hAnsi="Arial" w:cs="Arial"/>
                <w:lang w:val="en-GB"/>
              </w:rPr>
            </w:pPr>
            <w:r w:rsidRPr="006A1297">
              <w:rPr>
                <w:rFonts w:ascii="Arial" w:hAnsi="Arial" w:cs="Arial"/>
                <w:b/>
                <w:lang w:val="en-GB"/>
              </w:rPr>
              <w:t>Birth name</w:t>
            </w:r>
            <w:r w:rsidR="00A952B4" w:rsidRPr="006A1297">
              <w:rPr>
                <w:rFonts w:ascii="Arial" w:hAnsi="Arial" w:cs="Arial"/>
                <w:b/>
                <w:lang w:val="en-GB"/>
              </w:rPr>
              <w:t>:</w:t>
            </w:r>
          </w:p>
        </w:tc>
        <w:tc>
          <w:tcPr>
            <w:tcW w:w="6630" w:type="dxa"/>
            <w:gridSpan w:val="3"/>
          </w:tcPr>
          <w:p w14:paraId="58E03D7B" w14:textId="77777777" w:rsidR="00A952B4" w:rsidRPr="006A1297" w:rsidRDefault="00A952B4">
            <w:pPr>
              <w:rPr>
                <w:rFonts w:ascii="Arial" w:hAnsi="Arial" w:cs="Arial"/>
                <w:lang w:val="en-GB"/>
              </w:rPr>
            </w:pPr>
            <w:bookmarkStart w:id="3" w:name="UGYFEL_LeanyNeve"/>
            <w:bookmarkEnd w:id="3"/>
            <w:r w:rsidRPr="006A1297">
              <w:rPr>
                <w:rFonts w:ascii="Arial" w:hAnsi="Arial" w:cs="Arial"/>
                <w:lang w:val="en-GB"/>
              </w:rPr>
              <w:tab/>
            </w:r>
          </w:p>
        </w:tc>
      </w:tr>
      <w:tr w:rsidR="00A952B4" w:rsidRPr="006A1297" w14:paraId="4EDB1325" w14:textId="77777777" w:rsidTr="00892238">
        <w:trPr>
          <w:gridAfter w:val="1"/>
          <w:wAfter w:w="12" w:type="dxa"/>
        </w:trPr>
        <w:tc>
          <w:tcPr>
            <w:tcW w:w="2538" w:type="dxa"/>
          </w:tcPr>
          <w:p w14:paraId="74ED54D4" w14:textId="73A47518" w:rsidR="00A952B4" w:rsidRPr="006A1297" w:rsidRDefault="000C76C7">
            <w:pPr>
              <w:rPr>
                <w:rFonts w:ascii="Arial" w:hAnsi="Arial" w:cs="Arial"/>
                <w:lang w:val="en-GB"/>
              </w:rPr>
            </w:pPr>
            <w:r>
              <w:rPr>
                <w:rFonts w:ascii="Arial" w:hAnsi="Arial" w:cs="Arial"/>
                <w:b/>
                <w:lang w:val="en-GB"/>
              </w:rPr>
              <w:t>P</w:t>
            </w:r>
            <w:r w:rsidR="00892238" w:rsidRPr="006A1297">
              <w:rPr>
                <w:rFonts w:ascii="Arial" w:hAnsi="Arial" w:cs="Arial"/>
                <w:b/>
                <w:lang w:val="en-GB"/>
              </w:rPr>
              <w:t xml:space="preserve">lace </w:t>
            </w:r>
            <w:r>
              <w:rPr>
                <w:rFonts w:ascii="Arial" w:hAnsi="Arial" w:cs="Arial"/>
                <w:b/>
                <w:lang w:val="en-GB"/>
              </w:rPr>
              <w:t xml:space="preserve">and date </w:t>
            </w:r>
            <w:r w:rsidR="00892238" w:rsidRPr="006A1297">
              <w:rPr>
                <w:rFonts w:ascii="Arial" w:hAnsi="Arial" w:cs="Arial"/>
                <w:b/>
                <w:lang w:val="en-GB"/>
              </w:rPr>
              <w:t>of birth</w:t>
            </w:r>
            <w:r w:rsidR="00A952B4" w:rsidRPr="006A1297">
              <w:rPr>
                <w:rFonts w:ascii="Arial" w:hAnsi="Arial" w:cs="Arial"/>
                <w:b/>
                <w:lang w:val="en-GB"/>
              </w:rPr>
              <w:t>:</w:t>
            </w:r>
          </w:p>
        </w:tc>
        <w:tc>
          <w:tcPr>
            <w:tcW w:w="6630" w:type="dxa"/>
            <w:gridSpan w:val="3"/>
          </w:tcPr>
          <w:p w14:paraId="4FDC3B48" w14:textId="77777777" w:rsidR="00A952B4" w:rsidRPr="006A1297" w:rsidRDefault="00A952B4">
            <w:pPr>
              <w:rPr>
                <w:rFonts w:ascii="Arial" w:hAnsi="Arial" w:cs="Arial"/>
                <w:lang w:val="en-GB"/>
              </w:rPr>
            </w:pPr>
            <w:bookmarkStart w:id="4" w:name="UGYFEL_SzulAdat"/>
            <w:bookmarkEnd w:id="4"/>
            <w:r w:rsidRPr="006A1297">
              <w:rPr>
                <w:rFonts w:ascii="Arial" w:hAnsi="Arial" w:cs="Arial"/>
                <w:lang w:val="en-GB"/>
              </w:rPr>
              <w:tab/>
            </w:r>
          </w:p>
        </w:tc>
      </w:tr>
      <w:tr w:rsidR="00A952B4" w:rsidRPr="006A1297" w14:paraId="2A1172FD" w14:textId="77777777" w:rsidTr="00892238">
        <w:trPr>
          <w:gridAfter w:val="1"/>
          <w:wAfter w:w="12" w:type="dxa"/>
        </w:trPr>
        <w:tc>
          <w:tcPr>
            <w:tcW w:w="2538" w:type="dxa"/>
          </w:tcPr>
          <w:p w14:paraId="457A520D" w14:textId="53B6363F" w:rsidR="00A952B4" w:rsidRPr="006A1297" w:rsidRDefault="00892238">
            <w:pPr>
              <w:rPr>
                <w:rFonts w:ascii="Arial" w:hAnsi="Arial" w:cs="Arial"/>
                <w:lang w:val="en-GB"/>
              </w:rPr>
            </w:pPr>
            <w:r w:rsidRPr="006A1297">
              <w:rPr>
                <w:rFonts w:ascii="Arial" w:hAnsi="Arial" w:cs="Arial"/>
                <w:b/>
                <w:lang w:val="en-GB"/>
              </w:rPr>
              <w:t>Mother’s name:</w:t>
            </w:r>
          </w:p>
        </w:tc>
        <w:tc>
          <w:tcPr>
            <w:tcW w:w="6630" w:type="dxa"/>
            <w:gridSpan w:val="3"/>
          </w:tcPr>
          <w:p w14:paraId="00AA8DE0" w14:textId="77777777" w:rsidR="00A952B4" w:rsidRPr="006A1297" w:rsidRDefault="00A952B4">
            <w:pPr>
              <w:rPr>
                <w:rFonts w:ascii="Arial" w:hAnsi="Arial" w:cs="Arial"/>
                <w:lang w:val="en-GB"/>
              </w:rPr>
            </w:pPr>
            <w:bookmarkStart w:id="5" w:name="UGYFEL_AnyjaNeve"/>
            <w:bookmarkEnd w:id="5"/>
            <w:r w:rsidRPr="006A1297">
              <w:rPr>
                <w:rFonts w:ascii="Arial" w:hAnsi="Arial" w:cs="Arial"/>
                <w:lang w:val="en-GB"/>
              </w:rPr>
              <w:tab/>
            </w:r>
          </w:p>
        </w:tc>
      </w:tr>
      <w:tr w:rsidR="00A952B4" w:rsidRPr="006A1297" w14:paraId="789EB565" w14:textId="77777777" w:rsidTr="00892238">
        <w:trPr>
          <w:gridAfter w:val="1"/>
          <w:wAfter w:w="12" w:type="dxa"/>
        </w:trPr>
        <w:tc>
          <w:tcPr>
            <w:tcW w:w="2538" w:type="dxa"/>
          </w:tcPr>
          <w:p w14:paraId="793E6064" w14:textId="3E7FBA6A" w:rsidR="00A952B4" w:rsidRPr="006A1297" w:rsidRDefault="00892238">
            <w:pPr>
              <w:rPr>
                <w:rFonts w:ascii="Arial" w:hAnsi="Arial" w:cs="Arial"/>
                <w:lang w:val="en-GB"/>
              </w:rPr>
            </w:pPr>
            <w:r w:rsidRPr="006A1297">
              <w:rPr>
                <w:rFonts w:ascii="Arial" w:hAnsi="Arial" w:cs="Arial"/>
                <w:b/>
                <w:lang w:val="en-GB"/>
              </w:rPr>
              <w:t>Permanent address</w:t>
            </w:r>
            <w:r>
              <w:rPr>
                <w:rFonts w:ascii="Arial" w:hAnsi="Arial" w:cs="Arial"/>
                <w:b/>
                <w:lang w:val="en-GB"/>
              </w:rPr>
              <w:t>:</w:t>
            </w:r>
          </w:p>
        </w:tc>
        <w:tc>
          <w:tcPr>
            <w:tcW w:w="6630" w:type="dxa"/>
            <w:gridSpan w:val="3"/>
          </w:tcPr>
          <w:p w14:paraId="6904CFA4" w14:textId="77777777" w:rsidR="00A952B4" w:rsidRPr="006A1297" w:rsidRDefault="00A952B4">
            <w:pPr>
              <w:rPr>
                <w:rFonts w:ascii="Arial" w:hAnsi="Arial" w:cs="Arial"/>
                <w:lang w:val="en-GB"/>
              </w:rPr>
            </w:pPr>
            <w:bookmarkStart w:id="6" w:name="UGYFEL_TeljesCim"/>
            <w:bookmarkEnd w:id="6"/>
          </w:p>
        </w:tc>
      </w:tr>
      <w:tr w:rsidR="00A952B4" w:rsidRPr="006A1297" w14:paraId="76486E47" w14:textId="77777777" w:rsidTr="00892238">
        <w:trPr>
          <w:gridAfter w:val="1"/>
          <w:wAfter w:w="12" w:type="dxa"/>
        </w:trPr>
        <w:tc>
          <w:tcPr>
            <w:tcW w:w="2538" w:type="dxa"/>
          </w:tcPr>
          <w:p w14:paraId="7BA1D654" w14:textId="451F3D30" w:rsidR="00A952B4" w:rsidRPr="006A1297" w:rsidRDefault="00892238">
            <w:pPr>
              <w:rPr>
                <w:rFonts w:ascii="Arial" w:hAnsi="Arial" w:cs="Arial"/>
                <w:lang w:val="en-GB"/>
              </w:rPr>
            </w:pPr>
            <w:r w:rsidRPr="004D1379">
              <w:rPr>
                <w:rFonts w:ascii="Arial" w:hAnsi="Arial" w:cs="Arial"/>
                <w:b/>
                <w:lang w:val="en-GB"/>
              </w:rPr>
              <w:t>Personal identification document number</w:t>
            </w:r>
            <w:r>
              <w:rPr>
                <w:rFonts w:ascii="Arial" w:hAnsi="Arial" w:cs="Arial"/>
                <w:b/>
                <w:lang w:val="en-GB"/>
              </w:rPr>
              <w:t>:</w:t>
            </w:r>
          </w:p>
        </w:tc>
        <w:tc>
          <w:tcPr>
            <w:tcW w:w="6630" w:type="dxa"/>
            <w:gridSpan w:val="3"/>
          </w:tcPr>
          <w:p w14:paraId="0AA8516D" w14:textId="77777777" w:rsidR="00A952B4" w:rsidRPr="006A1297" w:rsidRDefault="00A952B4">
            <w:pPr>
              <w:rPr>
                <w:rFonts w:ascii="Arial" w:hAnsi="Arial" w:cs="Arial"/>
                <w:lang w:val="en-GB"/>
              </w:rPr>
            </w:pPr>
            <w:bookmarkStart w:id="7" w:name="UGYFEL_IgazolvanySzam"/>
            <w:bookmarkEnd w:id="7"/>
          </w:p>
        </w:tc>
      </w:tr>
      <w:tr w:rsidR="00A952B4" w:rsidRPr="006A1297" w14:paraId="461EAABB" w14:textId="77777777" w:rsidTr="00892238">
        <w:trPr>
          <w:gridAfter w:val="1"/>
          <w:wAfter w:w="12" w:type="dxa"/>
        </w:trPr>
        <w:tc>
          <w:tcPr>
            <w:tcW w:w="2538" w:type="dxa"/>
          </w:tcPr>
          <w:p w14:paraId="53BB9606" w14:textId="77777777" w:rsidR="00A952B4" w:rsidRPr="006A1297" w:rsidRDefault="00A952B4">
            <w:pPr>
              <w:rPr>
                <w:rFonts w:ascii="Arial" w:hAnsi="Arial" w:cs="Arial"/>
                <w:lang w:val="en-GB"/>
              </w:rPr>
            </w:pPr>
            <w:r w:rsidRPr="006A1297">
              <w:rPr>
                <w:rFonts w:ascii="Arial" w:hAnsi="Arial" w:cs="Arial"/>
                <w:b/>
                <w:lang w:val="en-GB"/>
              </w:rPr>
              <w:t>Phone number:</w:t>
            </w:r>
          </w:p>
        </w:tc>
        <w:tc>
          <w:tcPr>
            <w:tcW w:w="2693" w:type="dxa"/>
          </w:tcPr>
          <w:p w14:paraId="5E774450" w14:textId="77777777" w:rsidR="00A952B4" w:rsidRPr="006A1297" w:rsidRDefault="00A952B4">
            <w:pPr>
              <w:rPr>
                <w:rFonts w:ascii="Arial" w:hAnsi="Arial" w:cs="Arial"/>
                <w:lang w:val="en-GB"/>
              </w:rPr>
            </w:pPr>
            <w:bookmarkStart w:id="8" w:name="UGYFEL_TeljesTelefon"/>
            <w:bookmarkEnd w:id="8"/>
          </w:p>
        </w:tc>
        <w:tc>
          <w:tcPr>
            <w:tcW w:w="1134" w:type="dxa"/>
          </w:tcPr>
          <w:p w14:paraId="20848CA1" w14:textId="77777777" w:rsidR="00A952B4" w:rsidRPr="006A1297" w:rsidRDefault="00A952B4">
            <w:pPr>
              <w:rPr>
                <w:rFonts w:ascii="Arial" w:hAnsi="Arial" w:cs="Arial"/>
                <w:color w:val="000000"/>
                <w:lang w:val="en-GB"/>
              </w:rPr>
            </w:pPr>
            <w:r w:rsidRPr="006A1297">
              <w:rPr>
                <w:rFonts w:ascii="Arial" w:hAnsi="Arial" w:cs="Arial"/>
                <w:b/>
                <w:color w:val="000000"/>
                <w:lang w:val="en-GB"/>
              </w:rPr>
              <w:t>Fax no.:</w:t>
            </w:r>
          </w:p>
        </w:tc>
        <w:tc>
          <w:tcPr>
            <w:tcW w:w="2803" w:type="dxa"/>
          </w:tcPr>
          <w:p w14:paraId="1813AE9E" w14:textId="77777777" w:rsidR="00A952B4" w:rsidRPr="006A1297" w:rsidRDefault="00A952B4">
            <w:pPr>
              <w:rPr>
                <w:rFonts w:ascii="Arial" w:hAnsi="Arial" w:cs="Arial"/>
                <w:color w:val="000000"/>
                <w:lang w:val="en-GB"/>
              </w:rPr>
            </w:pPr>
          </w:p>
        </w:tc>
      </w:tr>
      <w:tr w:rsidR="00A952B4" w:rsidRPr="006A1297" w14:paraId="5F4433B5" w14:textId="77777777" w:rsidTr="00892238">
        <w:trPr>
          <w:cantSplit/>
        </w:trPr>
        <w:tc>
          <w:tcPr>
            <w:tcW w:w="2538" w:type="dxa"/>
          </w:tcPr>
          <w:p w14:paraId="21889EC7" w14:textId="77777777" w:rsidR="00A952B4" w:rsidRPr="006A1297" w:rsidRDefault="00A952B4">
            <w:pPr>
              <w:tabs>
                <w:tab w:val="left" w:pos="2410"/>
                <w:tab w:val="left" w:leader="dot" w:pos="7797"/>
              </w:tabs>
              <w:rPr>
                <w:rFonts w:ascii="Arial" w:hAnsi="Arial" w:cs="Arial"/>
                <w:lang w:val="en-GB"/>
              </w:rPr>
            </w:pPr>
            <w:r w:rsidRPr="006A1297">
              <w:rPr>
                <w:rFonts w:ascii="Arial" w:hAnsi="Arial" w:cs="Arial"/>
                <w:b/>
                <w:lang w:val="en-GB"/>
              </w:rPr>
              <w:t>Mobile number:</w:t>
            </w:r>
          </w:p>
        </w:tc>
        <w:tc>
          <w:tcPr>
            <w:tcW w:w="6642" w:type="dxa"/>
            <w:gridSpan w:val="4"/>
          </w:tcPr>
          <w:p w14:paraId="113FFFC7" w14:textId="77777777" w:rsidR="00A952B4" w:rsidRPr="006A1297" w:rsidRDefault="00A952B4">
            <w:pPr>
              <w:tabs>
                <w:tab w:val="left" w:pos="2410"/>
                <w:tab w:val="left" w:leader="dot" w:pos="7797"/>
              </w:tabs>
              <w:rPr>
                <w:rFonts w:ascii="Arial" w:hAnsi="Arial" w:cs="Arial"/>
                <w:lang w:val="en-GB"/>
              </w:rPr>
            </w:pPr>
            <w:bookmarkStart w:id="9" w:name="UGYFEL_TeljesMobil"/>
            <w:bookmarkEnd w:id="9"/>
          </w:p>
        </w:tc>
      </w:tr>
      <w:tr w:rsidR="00A952B4" w:rsidRPr="006A1297" w14:paraId="2A40AD0E" w14:textId="77777777" w:rsidTr="00892238">
        <w:trPr>
          <w:cantSplit/>
        </w:trPr>
        <w:tc>
          <w:tcPr>
            <w:tcW w:w="2538" w:type="dxa"/>
          </w:tcPr>
          <w:p w14:paraId="56808C5B" w14:textId="77777777" w:rsidR="00A952B4" w:rsidRPr="006A1297" w:rsidRDefault="00A952B4">
            <w:pPr>
              <w:tabs>
                <w:tab w:val="left" w:pos="2410"/>
                <w:tab w:val="left" w:leader="dot" w:pos="7797"/>
              </w:tabs>
              <w:rPr>
                <w:rFonts w:ascii="Arial" w:hAnsi="Arial" w:cs="Arial"/>
                <w:lang w:val="en-GB"/>
              </w:rPr>
            </w:pPr>
            <w:r w:rsidRPr="006A1297">
              <w:rPr>
                <w:rFonts w:ascii="Arial" w:hAnsi="Arial" w:cs="Arial"/>
                <w:b/>
                <w:lang w:val="en-GB"/>
              </w:rPr>
              <w:t>Email address:</w:t>
            </w:r>
          </w:p>
        </w:tc>
        <w:tc>
          <w:tcPr>
            <w:tcW w:w="6642" w:type="dxa"/>
            <w:gridSpan w:val="4"/>
          </w:tcPr>
          <w:p w14:paraId="1C956497" w14:textId="77777777" w:rsidR="00A952B4" w:rsidRPr="006A1297" w:rsidRDefault="00A952B4">
            <w:pPr>
              <w:tabs>
                <w:tab w:val="left" w:pos="2410"/>
                <w:tab w:val="left" w:leader="dot" w:pos="7797"/>
              </w:tabs>
              <w:rPr>
                <w:rFonts w:ascii="Arial" w:hAnsi="Arial" w:cs="Arial"/>
                <w:lang w:val="en-GB"/>
              </w:rPr>
            </w:pPr>
            <w:bookmarkStart w:id="10" w:name="UGYFEL_EMAIL"/>
            <w:bookmarkEnd w:id="10"/>
          </w:p>
        </w:tc>
      </w:tr>
      <w:tr w:rsidR="00A952B4" w:rsidRPr="006A1297" w14:paraId="36C9AA09" w14:textId="77777777" w:rsidTr="00892238">
        <w:trPr>
          <w:cantSplit/>
        </w:trPr>
        <w:tc>
          <w:tcPr>
            <w:tcW w:w="2538" w:type="dxa"/>
          </w:tcPr>
          <w:p w14:paraId="0E3BAE68" w14:textId="1468A9B6" w:rsidR="00A952B4" w:rsidRPr="006A1297" w:rsidRDefault="00892238">
            <w:pPr>
              <w:tabs>
                <w:tab w:val="left" w:pos="2410"/>
                <w:tab w:val="left" w:leader="dot" w:pos="7797"/>
              </w:tabs>
              <w:rPr>
                <w:rFonts w:ascii="Arial" w:hAnsi="Arial" w:cs="Arial"/>
                <w:lang w:val="en-GB"/>
              </w:rPr>
            </w:pPr>
            <w:r w:rsidRPr="00E54BDA">
              <w:rPr>
                <w:rFonts w:ascii="Arial" w:hAnsi="Arial" w:cs="Arial"/>
                <w:b/>
                <w:lang w:val="en-GB"/>
              </w:rPr>
              <w:t>Legal residence</w:t>
            </w:r>
            <w:r w:rsidR="00A952B4" w:rsidRPr="006A1297">
              <w:rPr>
                <w:rFonts w:ascii="Arial" w:hAnsi="Arial" w:cs="Arial"/>
                <w:b/>
                <w:lang w:val="en-GB"/>
              </w:rPr>
              <w:t>:</w:t>
            </w:r>
          </w:p>
        </w:tc>
        <w:tc>
          <w:tcPr>
            <w:tcW w:w="6642" w:type="dxa"/>
            <w:gridSpan w:val="4"/>
          </w:tcPr>
          <w:p w14:paraId="229E87BA" w14:textId="77777777" w:rsidR="00A952B4" w:rsidRPr="006A1297" w:rsidRDefault="00A952B4">
            <w:pPr>
              <w:tabs>
                <w:tab w:val="left" w:pos="2410"/>
                <w:tab w:val="left" w:leader="dot" w:pos="7797"/>
              </w:tabs>
              <w:rPr>
                <w:rFonts w:ascii="Arial" w:hAnsi="Arial" w:cs="Arial"/>
                <w:lang w:val="en-GB"/>
              </w:rPr>
            </w:pPr>
            <w:bookmarkStart w:id="11" w:name="SZAMLA_RezidensSzoveg"/>
            <w:bookmarkEnd w:id="11"/>
          </w:p>
        </w:tc>
      </w:tr>
      <w:tr w:rsidR="00A952B4" w:rsidRPr="006A1297" w14:paraId="4F2CD25A" w14:textId="77777777" w:rsidTr="00892238">
        <w:trPr>
          <w:cantSplit/>
        </w:trPr>
        <w:tc>
          <w:tcPr>
            <w:tcW w:w="2538" w:type="dxa"/>
          </w:tcPr>
          <w:p w14:paraId="718CEF56" w14:textId="38AFFC2B" w:rsidR="00A952B4" w:rsidRPr="006A1297" w:rsidRDefault="00A952B4">
            <w:pPr>
              <w:tabs>
                <w:tab w:val="left" w:pos="2410"/>
                <w:tab w:val="left" w:leader="dot" w:pos="7797"/>
              </w:tabs>
              <w:rPr>
                <w:rFonts w:ascii="Arial" w:hAnsi="Arial" w:cs="Arial"/>
                <w:lang w:val="en-GB"/>
              </w:rPr>
            </w:pPr>
            <w:r w:rsidRPr="006A1297">
              <w:rPr>
                <w:rFonts w:ascii="Arial" w:hAnsi="Arial" w:cs="Arial"/>
                <w:b/>
                <w:lang w:val="en-GB"/>
              </w:rPr>
              <w:t>Tax number:</w:t>
            </w:r>
          </w:p>
        </w:tc>
        <w:tc>
          <w:tcPr>
            <w:tcW w:w="6642" w:type="dxa"/>
            <w:gridSpan w:val="4"/>
          </w:tcPr>
          <w:p w14:paraId="46C6AECD" w14:textId="77777777" w:rsidR="00A952B4" w:rsidRPr="006A1297" w:rsidRDefault="00A952B4">
            <w:pPr>
              <w:tabs>
                <w:tab w:val="left" w:pos="2410"/>
                <w:tab w:val="left" w:leader="dot" w:pos="7797"/>
              </w:tabs>
              <w:rPr>
                <w:rFonts w:ascii="Arial" w:hAnsi="Arial" w:cs="Arial"/>
                <w:lang w:val="en-GB"/>
              </w:rPr>
            </w:pPr>
            <w:bookmarkStart w:id="12" w:name="UGYFEL_AdoAzonositoJel"/>
            <w:bookmarkEnd w:id="12"/>
          </w:p>
        </w:tc>
      </w:tr>
    </w:tbl>
    <w:p w14:paraId="058EA569" w14:textId="77777777" w:rsidR="00A952B4" w:rsidRPr="006A1297" w:rsidRDefault="00A952B4">
      <w:pPr>
        <w:rPr>
          <w:rFonts w:ascii="Arial" w:hAnsi="Arial" w:cs="Arial"/>
          <w:lang w:val="en-GB"/>
        </w:rPr>
      </w:pPr>
    </w:p>
    <w:tbl>
      <w:tblPr>
        <w:tblW w:w="0" w:type="auto"/>
        <w:jc w:val="center"/>
        <w:tblLayout w:type="fixed"/>
        <w:tblLook w:val="0000" w:firstRow="0" w:lastRow="0" w:firstColumn="0" w:lastColumn="0" w:noHBand="0" w:noVBand="0"/>
      </w:tblPr>
      <w:tblGrid>
        <w:gridCol w:w="6300"/>
      </w:tblGrid>
      <w:tr w:rsidR="00A952B4" w:rsidRPr="006A1297" w14:paraId="726DA055" w14:textId="77777777">
        <w:trPr>
          <w:jc w:val="center"/>
        </w:trPr>
        <w:tc>
          <w:tcPr>
            <w:tcW w:w="6300" w:type="dxa"/>
          </w:tcPr>
          <w:p w14:paraId="4C6C5109" w14:textId="77777777" w:rsidR="00A952B4" w:rsidRPr="006A1297" w:rsidRDefault="00A952B4">
            <w:pPr>
              <w:jc w:val="center"/>
              <w:rPr>
                <w:rFonts w:ascii="Arial" w:hAnsi="Arial" w:cs="Arial"/>
                <w:color w:val="000000"/>
                <w:lang w:val="en-GB"/>
              </w:rPr>
            </w:pPr>
            <w:r w:rsidRPr="006A1297">
              <w:rPr>
                <w:rFonts w:ascii="Arial" w:hAnsi="Arial" w:cs="Arial"/>
                <w:lang w:val="en-GB"/>
              </w:rPr>
              <w:t xml:space="preserve">as Account Holder (hereinafter: </w:t>
            </w:r>
            <w:r w:rsidRPr="006A1297">
              <w:rPr>
                <w:rFonts w:ascii="Arial" w:hAnsi="Arial" w:cs="Arial"/>
                <w:b/>
                <w:lang w:val="en-GB"/>
              </w:rPr>
              <w:t>the “Client”</w:t>
            </w:r>
            <w:r w:rsidRPr="006A1297">
              <w:rPr>
                <w:rFonts w:ascii="Arial" w:hAnsi="Arial" w:cs="Arial"/>
                <w:lang w:val="en-GB"/>
              </w:rPr>
              <w:t>)</w:t>
            </w:r>
          </w:p>
        </w:tc>
      </w:tr>
    </w:tbl>
    <w:p w14:paraId="72ACC374" w14:textId="77777777" w:rsidR="00A952B4" w:rsidRPr="006A1297" w:rsidRDefault="00A952B4">
      <w:pPr>
        <w:ind w:left="1224"/>
        <w:rPr>
          <w:rFonts w:ascii="Arial" w:hAnsi="Arial" w:cs="Arial"/>
          <w:lang w:val="en-GB"/>
        </w:rPr>
      </w:pPr>
    </w:p>
    <w:p w14:paraId="68D32C9A" w14:textId="77777777" w:rsidR="00A952B4" w:rsidRPr="006A1297" w:rsidRDefault="00A952B4">
      <w:pPr>
        <w:tabs>
          <w:tab w:val="left" w:pos="709"/>
          <w:tab w:val="left" w:pos="1152"/>
          <w:tab w:val="left" w:pos="1440"/>
          <w:tab w:val="left" w:pos="1872"/>
          <w:tab w:val="left" w:pos="3024"/>
          <w:tab w:val="left" w:pos="7056"/>
          <w:tab w:val="left" w:pos="7488"/>
        </w:tabs>
        <w:ind w:right="136"/>
        <w:jc w:val="both"/>
        <w:rPr>
          <w:rFonts w:ascii="Arial" w:hAnsi="Arial" w:cs="Arial"/>
          <w:lang w:val="en-GB"/>
        </w:rPr>
      </w:pPr>
      <w:r w:rsidRPr="006A1297">
        <w:rPr>
          <w:rFonts w:ascii="Arial" w:hAnsi="Arial" w:cs="Arial"/>
          <w:lang w:val="en-GB"/>
        </w:rPr>
        <w:t>(hereinafter jointly referred to as: the “Parties”)</w:t>
      </w:r>
    </w:p>
    <w:p w14:paraId="08630CB4" w14:textId="77777777" w:rsidR="00A952B4" w:rsidRPr="006A1297" w:rsidRDefault="00A952B4">
      <w:pPr>
        <w:tabs>
          <w:tab w:val="left" w:pos="709"/>
          <w:tab w:val="left" w:pos="1152"/>
          <w:tab w:val="left" w:pos="1440"/>
          <w:tab w:val="left" w:pos="1872"/>
          <w:tab w:val="left" w:pos="3024"/>
          <w:tab w:val="left" w:pos="7056"/>
          <w:tab w:val="left" w:pos="7488"/>
        </w:tabs>
        <w:ind w:right="136"/>
        <w:jc w:val="both"/>
        <w:rPr>
          <w:rFonts w:ascii="Arial" w:hAnsi="Arial" w:cs="Arial"/>
          <w:lang w:val="en-GB"/>
        </w:rPr>
      </w:pPr>
      <w:r w:rsidRPr="006A1297">
        <w:rPr>
          <w:rFonts w:ascii="Arial" w:hAnsi="Arial" w:cs="Arial"/>
          <w:lang w:val="en-GB"/>
        </w:rPr>
        <w:t>on the place and date referred below under the following conditions:</w:t>
      </w:r>
    </w:p>
    <w:p w14:paraId="5AEB196D" w14:textId="77777777" w:rsidR="00A952B4" w:rsidRPr="006A1297" w:rsidRDefault="00A952B4">
      <w:pPr>
        <w:pStyle w:val="Header"/>
        <w:tabs>
          <w:tab w:val="clear" w:pos="4153"/>
          <w:tab w:val="clear" w:pos="8306"/>
        </w:tabs>
        <w:spacing w:after="120"/>
        <w:rPr>
          <w:rFonts w:ascii="Arial" w:hAnsi="Arial" w:cs="Arial"/>
          <w:lang w:val="en-GB"/>
        </w:rPr>
      </w:pPr>
    </w:p>
    <w:p w14:paraId="083B41BE" w14:textId="199D8EF6" w:rsidR="00A952B4" w:rsidRPr="006A1297" w:rsidRDefault="00570D97">
      <w:pPr>
        <w:pStyle w:val="Header"/>
        <w:numPr>
          <w:ilvl w:val="0"/>
          <w:numId w:val="12"/>
        </w:numPr>
        <w:tabs>
          <w:tab w:val="clear" w:pos="4153"/>
          <w:tab w:val="clear" w:pos="8306"/>
        </w:tabs>
        <w:spacing w:after="120"/>
        <w:rPr>
          <w:rFonts w:ascii="Arial" w:hAnsi="Arial" w:cs="Arial"/>
          <w:b/>
          <w:bCs/>
          <w:lang w:val="en-GB"/>
        </w:rPr>
      </w:pPr>
      <w:r>
        <w:rPr>
          <w:rFonts w:ascii="Arial" w:hAnsi="Arial" w:cs="Arial"/>
          <w:b/>
          <w:bCs/>
          <w:lang w:val="en-GB"/>
        </w:rPr>
        <w:t>Pension</w:t>
      </w:r>
      <w:r w:rsidR="00A952B4" w:rsidRPr="006A1297">
        <w:rPr>
          <w:rFonts w:ascii="Arial" w:hAnsi="Arial" w:cs="Arial"/>
          <w:b/>
          <w:bCs/>
          <w:lang w:val="en-GB"/>
        </w:rPr>
        <w:t xml:space="preserve"> Savings Account</w:t>
      </w:r>
    </w:p>
    <w:p w14:paraId="6455D303" w14:textId="28CE2CE2" w:rsidR="00A952B4" w:rsidRPr="006A1297" w:rsidRDefault="00A952B4">
      <w:pPr>
        <w:pStyle w:val="Header"/>
        <w:numPr>
          <w:ilvl w:val="1"/>
          <w:numId w:val="12"/>
        </w:numPr>
        <w:tabs>
          <w:tab w:val="clear" w:pos="4153"/>
          <w:tab w:val="clear" w:pos="8306"/>
        </w:tabs>
        <w:rPr>
          <w:rFonts w:ascii="Arial" w:hAnsi="Arial" w:cs="Arial"/>
          <w:bCs/>
          <w:color w:val="000000"/>
          <w:lang w:val="en-GB"/>
        </w:rPr>
      </w:pPr>
      <w:r w:rsidRPr="006A1297">
        <w:rPr>
          <w:rFonts w:ascii="Arial" w:hAnsi="Arial" w:cs="Arial"/>
          <w:lang w:val="en-GB"/>
        </w:rPr>
        <w:t>By signing this Agreement based on the Act No. CLVI of 2005 on the pre-</w:t>
      </w:r>
      <w:r w:rsidR="00570D97">
        <w:rPr>
          <w:rFonts w:ascii="Arial" w:hAnsi="Arial" w:cs="Arial"/>
          <w:lang w:val="en-GB"/>
        </w:rPr>
        <w:t>pension</w:t>
      </w:r>
      <w:r w:rsidRPr="006A1297">
        <w:rPr>
          <w:rFonts w:ascii="Arial" w:hAnsi="Arial" w:cs="Arial"/>
          <w:lang w:val="en-GB"/>
        </w:rPr>
        <w:t xml:space="preserve"> savings accounts (</w:t>
      </w:r>
      <w:proofErr w:type="spellStart"/>
      <w:r w:rsidRPr="006A1297">
        <w:rPr>
          <w:rFonts w:ascii="Arial" w:hAnsi="Arial" w:cs="Arial"/>
          <w:lang w:val="en-GB"/>
        </w:rPr>
        <w:t>Nyesz</w:t>
      </w:r>
      <w:proofErr w:type="spellEnd"/>
      <w:r w:rsidRPr="006A1297">
        <w:rPr>
          <w:rFonts w:ascii="Arial" w:hAnsi="Arial" w:cs="Arial"/>
          <w:lang w:val="en-GB"/>
        </w:rPr>
        <w:t xml:space="preserve"> Act) the Bank undertakes to open and administer for the Client, as pre-saver – in accordance with the Client’s explicit instructions – </w:t>
      </w:r>
      <w:r w:rsidR="00C454EF" w:rsidRPr="00C454EF">
        <w:rPr>
          <w:rFonts w:ascii="Arial" w:hAnsi="Arial" w:cs="Arial"/>
          <w:lang w:val="en-GB"/>
        </w:rPr>
        <w:t xml:space="preserve">payment account </w:t>
      </w:r>
      <w:r w:rsidRPr="006A1297">
        <w:rPr>
          <w:rFonts w:ascii="Arial" w:hAnsi="Arial" w:cs="Arial"/>
          <w:lang w:val="en-GB"/>
        </w:rPr>
        <w:t xml:space="preserve">type Forint </w:t>
      </w:r>
      <w:r w:rsidR="00570D97">
        <w:rPr>
          <w:rFonts w:ascii="Arial" w:hAnsi="Arial" w:cs="Arial"/>
          <w:lang w:val="en-GB"/>
        </w:rPr>
        <w:t>Pension</w:t>
      </w:r>
      <w:r w:rsidRPr="006A1297">
        <w:rPr>
          <w:rFonts w:ascii="Arial" w:hAnsi="Arial" w:cs="Arial"/>
          <w:lang w:val="en-GB"/>
        </w:rPr>
        <w:t xml:space="preserve"> Savings Accounts (hereinafter separately: </w:t>
      </w:r>
      <w:r w:rsidR="00570D97">
        <w:rPr>
          <w:rFonts w:ascii="Arial" w:hAnsi="Arial" w:cs="Arial"/>
          <w:lang w:val="en-GB"/>
        </w:rPr>
        <w:t>Pension</w:t>
      </w:r>
      <w:r w:rsidRPr="00C454EF">
        <w:rPr>
          <w:rFonts w:ascii="Arial" w:hAnsi="Arial" w:cs="Arial"/>
          <w:lang w:val="en-GB"/>
        </w:rPr>
        <w:t xml:space="preserve"> Savings Account, jointly:</w:t>
      </w:r>
      <w:r w:rsidRPr="006A1297">
        <w:rPr>
          <w:rFonts w:ascii="Arial" w:hAnsi="Arial" w:cs="Arial"/>
          <w:b/>
          <w:bCs/>
          <w:lang w:val="en-GB"/>
        </w:rPr>
        <w:t xml:space="preserve"> </w:t>
      </w:r>
      <w:r w:rsidR="00570D97">
        <w:rPr>
          <w:rFonts w:ascii="Arial" w:hAnsi="Arial" w:cs="Arial"/>
          <w:b/>
          <w:bCs/>
          <w:color w:val="000000"/>
          <w:lang w:val="en-GB"/>
        </w:rPr>
        <w:t>Pension</w:t>
      </w:r>
      <w:r w:rsidRPr="006A1297">
        <w:rPr>
          <w:rFonts w:ascii="Arial" w:hAnsi="Arial" w:cs="Arial"/>
          <w:b/>
          <w:bCs/>
          <w:color w:val="000000"/>
          <w:lang w:val="en-GB"/>
        </w:rPr>
        <w:t xml:space="preserve"> Savings Accounts</w:t>
      </w:r>
      <w:r w:rsidRPr="006A1297">
        <w:rPr>
          <w:rFonts w:ascii="Arial" w:hAnsi="Arial" w:cs="Arial"/>
          <w:bCs/>
          <w:color w:val="000000"/>
          <w:lang w:val="en-GB"/>
        </w:rPr>
        <w:t xml:space="preserve">). </w:t>
      </w:r>
    </w:p>
    <w:p w14:paraId="4B8D14BF" w14:textId="089C90CE" w:rsidR="00A952B4" w:rsidRPr="006A1297" w:rsidRDefault="00A952B4">
      <w:pPr>
        <w:tabs>
          <w:tab w:val="left" w:pos="357"/>
        </w:tabs>
        <w:jc w:val="both"/>
        <w:rPr>
          <w:rFonts w:ascii="Arial" w:hAnsi="Arial" w:cs="Arial"/>
          <w:lang w:val="en-GB"/>
        </w:rPr>
      </w:pPr>
      <w:r w:rsidRPr="006A1297">
        <w:rPr>
          <w:rFonts w:ascii="Arial" w:hAnsi="Arial" w:cs="Arial"/>
          <w:lang w:val="en-GB"/>
        </w:rPr>
        <w:tab/>
        <w:t xml:space="preserve">Address of the branch administering the </w:t>
      </w:r>
      <w:r w:rsidR="00570D97">
        <w:rPr>
          <w:rFonts w:ascii="Arial" w:hAnsi="Arial" w:cs="Arial"/>
          <w:lang w:val="en-GB"/>
        </w:rPr>
        <w:t>Pension</w:t>
      </w:r>
      <w:r w:rsidRPr="006A1297">
        <w:rPr>
          <w:rFonts w:ascii="Arial" w:hAnsi="Arial" w:cs="Arial"/>
          <w:lang w:val="en-GB"/>
        </w:rPr>
        <w:t xml:space="preserve"> Savings Account:</w:t>
      </w:r>
      <w:r w:rsidRPr="006A1297">
        <w:rPr>
          <w:rFonts w:ascii="Arial" w:hAnsi="Arial" w:cs="Arial"/>
          <w:lang w:val="en-GB"/>
        </w:rPr>
        <w:tab/>
        <w:t xml:space="preserve"> </w:t>
      </w:r>
      <w:bookmarkStart w:id="13" w:name="SZAMLA_FiokCim"/>
      <w:r w:rsidRPr="006A1297">
        <w:rPr>
          <w:rFonts w:ascii="Arial" w:hAnsi="Arial" w:cs="Arial"/>
          <w:lang w:val="en-GB"/>
        </w:rPr>
        <w:t>…………………………</w:t>
      </w:r>
      <w:proofErr w:type="gramStart"/>
      <w:r w:rsidRPr="006A1297">
        <w:rPr>
          <w:rFonts w:ascii="Arial" w:hAnsi="Arial" w:cs="Arial"/>
          <w:lang w:val="en-GB"/>
        </w:rPr>
        <w:t>…..</w:t>
      </w:r>
      <w:bookmarkEnd w:id="13"/>
      <w:proofErr w:type="gramEnd"/>
    </w:p>
    <w:p w14:paraId="7E61CA7C" w14:textId="796BD2E0" w:rsidR="00A952B4" w:rsidRPr="006A1297" w:rsidRDefault="00A952B4">
      <w:pPr>
        <w:tabs>
          <w:tab w:val="left" w:pos="357"/>
        </w:tabs>
        <w:jc w:val="both"/>
        <w:rPr>
          <w:rFonts w:ascii="Arial" w:hAnsi="Arial" w:cs="Arial"/>
          <w:lang w:val="en-GB"/>
        </w:rPr>
      </w:pPr>
      <w:r w:rsidRPr="006A1297">
        <w:rPr>
          <w:rFonts w:ascii="Arial" w:hAnsi="Arial" w:cs="Arial"/>
          <w:lang w:val="en-GB"/>
        </w:rPr>
        <w:tab/>
        <w:t xml:space="preserve">Number of </w:t>
      </w:r>
      <w:r w:rsidR="00570D97">
        <w:rPr>
          <w:rFonts w:ascii="Arial" w:hAnsi="Arial" w:cs="Arial"/>
          <w:lang w:val="en-GB"/>
        </w:rPr>
        <w:t>Pension</w:t>
      </w:r>
      <w:r w:rsidRPr="006A1297">
        <w:rPr>
          <w:rFonts w:ascii="Arial" w:hAnsi="Arial" w:cs="Arial"/>
          <w:lang w:val="en-GB"/>
        </w:rPr>
        <w:t xml:space="preserve"> Savings Accounts:</w:t>
      </w:r>
      <w:r w:rsidRPr="006A1297">
        <w:rPr>
          <w:rFonts w:ascii="Arial" w:hAnsi="Arial" w:cs="Arial"/>
          <w:lang w:val="en-GB"/>
        </w:rPr>
        <w:tab/>
        <w:t>(1)</w:t>
      </w:r>
      <w:r w:rsidRPr="006A1297">
        <w:rPr>
          <w:rStyle w:val="FootnoteReference"/>
          <w:rFonts w:ascii="Arial" w:hAnsi="Arial" w:cs="Arial"/>
          <w:lang w:val="en-GB"/>
        </w:rPr>
        <w:footnoteReference w:id="1"/>
      </w:r>
      <w:bookmarkStart w:id="14" w:name="SZAMLA_PillerMNBSzamlaSzam"/>
      <w:r w:rsidRPr="006A1297">
        <w:rPr>
          <w:rFonts w:ascii="Arial" w:hAnsi="Arial" w:cs="Arial"/>
          <w:lang w:val="en-GB"/>
        </w:rPr>
        <w:t>…………………………………</w:t>
      </w:r>
      <w:bookmarkEnd w:id="14"/>
    </w:p>
    <w:p w14:paraId="08A1F4DB" w14:textId="77777777" w:rsidR="00A952B4" w:rsidRPr="006A1297" w:rsidRDefault="00A952B4">
      <w:pPr>
        <w:tabs>
          <w:tab w:val="left" w:pos="357"/>
        </w:tabs>
        <w:jc w:val="both"/>
        <w:rPr>
          <w:rFonts w:ascii="Arial" w:hAnsi="Arial" w:cs="Arial"/>
          <w:lang w:val="en-GB"/>
        </w:rPr>
      </w:pP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r>
      <w:r w:rsidRPr="006A1297">
        <w:rPr>
          <w:rFonts w:ascii="Arial" w:hAnsi="Arial" w:cs="Arial"/>
          <w:lang w:val="en-GB"/>
        </w:rPr>
        <w:tab/>
        <w:t>(2)</w:t>
      </w:r>
      <w:r w:rsidRPr="006A1297">
        <w:rPr>
          <w:rStyle w:val="FootnoteReference"/>
          <w:rFonts w:ascii="Arial" w:hAnsi="Arial" w:cs="Arial"/>
          <w:lang w:val="en-GB"/>
        </w:rPr>
        <w:footnoteReference w:id="2"/>
      </w:r>
      <w:bookmarkStart w:id="15" w:name="SZAMLA_MNBSzamlaSzam"/>
      <w:r w:rsidRPr="006A1297">
        <w:rPr>
          <w:rFonts w:ascii="Arial" w:hAnsi="Arial" w:cs="Arial"/>
          <w:lang w:val="en-GB"/>
        </w:rPr>
        <w:t>…………………………………</w:t>
      </w:r>
      <w:bookmarkEnd w:id="15"/>
    </w:p>
    <w:p w14:paraId="483B2823" w14:textId="77777777" w:rsidR="00A952B4" w:rsidRPr="006A1297" w:rsidRDefault="00A952B4">
      <w:pPr>
        <w:pStyle w:val="Header"/>
        <w:tabs>
          <w:tab w:val="clear" w:pos="4153"/>
          <w:tab w:val="clear" w:pos="8306"/>
        </w:tabs>
        <w:rPr>
          <w:rFonts w:ascii="Arial" w:hAnsi="Arial" w:cs="Arial"/>
          <w:lang w:val="en-GB"/>
        </w:rPr>
      </w:pPr>
    </w:p>
    <w:p w14:paraId="207F917F" w14:textId="6754CD74"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agrees that concurrently by signing this Agreement he/she shall be required to make a payment of at least HUF 5,000 that is Five thousand Forint to the </w:t>
      </w:r>
      <w:r w:rsidR="00570D97">
        <w:rPr>
          <w:rFonts w:ascii="Arial" w:hAnsi="Arial" w:cs="Arial"/>
          <w:lang w:val="en-GB"/>
        </w:rPr>
        <w:t>Pension</w:t>
      </w:r>
      <w:r w:rsidRPr="006A1297">
        <w:rPr>
          <w:rFonts w:ascii="Arial" w:hAnsi="Arial" w:cs="Arial"/>
          <w:lang w:val="en-GB"/>
        </w:rPr>
        <w:t xml:space="preserve"> Savings Account </w:t>
      </w:r>
      <w:r w:rsidR="00736D4B" w:rsidRPr="005B5E37">
        <w:rPr>
          <w:rFonts w:ascii="Arial" w:hAnsi="Arial" w:cs="Arial"/>
          <w:lang w:val="en-GB"/>
        </w:rPr>
        <w:t>(hereinafter:</w:t>
      </w:r>
      <w:r w:rsidR="00736D4B">
        <w:rPr>
          <w:rFonts w:ascii="Arial" w:hAnsi="Arial" w:cs="Arial"/>
          <w:lang w:val="en-GB"/>
        </w:rPr>
        <w:t xml:space="preserve"> PSA) </w:t>
      </w:r>
      <w:r w:rsidRPr="006A1297">
        <w:rPr>
          <w:rFonts w:ascii="Arial" w:hAnsi="Arial" w:cs="Arial"/>
          <w:lang w:val="en-GB"/>
        </w:rPr>
        <w:t xml:space="preserve">indicated with (1). </w:t>
      </w:r>
    </w:p>
    <w:p w14:paraId="58FD7340" w14:textId="77777777" w:rsidR="00A952B4" w:rsidRPr="006A1297" w:rsidRDefault="00A952B4">
      <w:pPr>
        <w:pStyle w:val="Header"/>
        <w:tabs>
          <w:tab w:val="clear" w:pos="4153"/>
          <w:tab w:val="clear" w:pos="8306"/>
        </w:tabs>
        <w:rPr>
          <w:rFonts w:ascii="Arial" w:hAnsi="Arial" w:cs="Arial"/>
          <w:lang w:val="en-GB"/>
        </w:rPr>
      </w:pPr>
    </w:p>
    <w:p w14:paraId="0E3B4E59" w14:textId="3B5AC098"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understands that the Bank shall make a credit entry to the </w:t>
      </w:r>
      <w:r w:rsidR="00570D97">
        <w:rPr>
          <w:rFonts w:ascii="Arial" w:hAnsi="Arial" w:cs="Arial"/>
          <w:lang w:val="en-GB"/>
        </w:rPr>
        <w:t>Pension</w:t>
      </w:r>
      <w:r w:rsidRPr="006A1297">
        <w:rPr>
          <w:rFonts w:ascii="Arial" w:hAnsi="Arial" w:cs="Arial"/>
          <w:lang w:val="en-GB"/>
        </w:rPr>
        <w:t xml:space="preserve"> Savings Account exclusively in the following cases:</w:t>
      </w:r>
    </w:p>
    <w:p w14:paraId="1439559F" w14:textId="77777777" w:rsidR="00A952B4" w:rsidRPr="006A1297" w:rsidRDefault="00A952B4">
      <w:pPr>
        <w:numPr>
          <w:ilvl w:val="0"/>
          <w:numId w:val="13"/>
        </w:numPr>
        <w:jc w:val="both"/>
        <w:rPr>
          <w:rFonts w:ascii="Arial" w:hAnsi="Arial" w:cs="Arial"/>
          <w:i/>
          <w:iCs/>
          <w:lang w:val="en-GB"/>
        </w:rPr>
      </w:pPr>
      <w:r w:rsidRPr="006A1297">
        <w:rPr>
          <w:rFonts w:ascii="Arial" w:hAnsi="Arial" w:cs="Arial"/>
          <w:lang w:val="en-GB"/>
        </w:rPr>
        <w:t xml:space="preserve">cash payment by the Client or transfer from the account kept under the Client’s </w:t>
      </w:r>
      <w:proofErr w:type="gramStart"/>
      <w:r w:rsidRPr="006A1297">
        <w:rPr>
          <w:rFonts w:ascii="Arial" w:hAnsi="Arial" w:cs="Arial"/>
          <w:lang w:val="en-GB"/>
        </w:rPr>
        <w:t>name;</w:t>
      </w:r>
      <w:proofErr w:type="gramEnd"/>
      <w:r w:rsidRPr="006A1297">
        <w:rPr>
          <w:rFonts w:ascii="Arial" w:hAnsi="Arial" w:cs="Arial"/>
          <w:lang w:val="en-GB"/>
        </w:rPr>
        <w:tab/>
      </w:r>
    </w:p>
    <w:p w14:paraId="76966B75" w14:textId="239B5ED0" w:rsidR="00A952B4" w:rsidRPr="006A1297" w:rsidRDefault="00A952B4">
      <w:pPr>
        <w:numPr>
          <w:ilvl w:val="0"/>
          <w:numId w:val="13"/>
        </w:numPr>
        <w:jc w:val="both"/>
        <w:rPr>
          <w:rFonts w:ascii="Arial" w:hAnsi="Arial" w:cs="Arial"/>
          <w:i/>
          <w:iCs/>
          <w:lang w:val="en-GB"/>
        </w:rPr>
      </w:pPr>
      <w:r w:rsidRPr="006A1297">
        <w:rPr>
          <w:rFonts w:ascii="Arial" w:hAnsi="Arial" w:cs="Arial"/>
          <w:lang w:val="en-GB"/>
        </w:rPr>
        <w:t xml:space="preserve">return on securities registered on the Consolidated </w:t>
      </w:r>
      <w:r w:rsidR="00570D97">
        <w:rPr>
          <w:rFonts w:ascii="Arial" w:hAnsi="Arial" w:cs="Arial"/>
          <w:lang w:val="en-GB"/>
        </w:rPr>
        <w:t>Pension</w:t>
      </w:r>
      <w:r w:rsidRPr="006A1297">
        <w:rPr>
          <w:rFonts w:ascii="Arial" w:hAnsi="Arial" w:cs="Arial"/>
          <w:lang w:val="en-GB"/>
        </w:rPr>
        <w:t xml:space="preserve"> Securities </w:t>
      </w:r>
      <w:proofErr w:type="gramStart"/>
      <w:r w:rsidRPr="006A1297">
        <w:rPr>
          <w:rFonts w:ascii="Arial" w:hAnsi="Arial" w:cs="Arial"/>
          <w:lang w:val="en-GB"/>
        </w:rPr>
        <w:t>Account;</w:t>
      </w:r>
      <w:proofErr w:type="gramEnd"/>
    </w:p>
    <w:p w14:paraId="03A55846" w14:textId="1A911201" w:rsidR="00A952B4" w:rsidRPr="006A1297" w:rsidRDefault="00A952B4">
      <w:pPr>
        <w:numPr>
          <w:ilvl w:val="0"/>
          <w:numId w:val="13"/>
        </w:numPr>
        <w:jc w:val="both"/>
        <w:rPr>
          <w:rFonts w:ascii="Arial" w:hAnsi="Arial" w:cs="Arial"/>
          <w:i/>
          <w:iCs/>
          <w:lang w:val="en-GB"/>
        </w:rPr>
      </w:pPr>
      <w:r w:rsidRPr="006A1297">
        <w:rPr>
          <w:rFonts w:ascii="Arial" w:hAnsi="Arial" w:cs="Arial"/>
          <w:lang w:val="en-GB"/>
        </w:rPr>
        <w:lastRenderedPageBreak/>
        <w:t xml:space="preserve">proceeds from the sale of securities registered on the Consolidated </w:t>
      </w:r>
      <w:r w:rsidR="00570D97">
        <w:rPr>
          <w:rFonts w:ascii="Arial" w:hAnsi="Arial" w:cs="Arial"/>
          <w:lang w:val="en-GB"/>
        </w:rPr>
        <w:t>Pension</w:t>
      </w:r>
      <w:r w:rsidRPr="006A1297">
        <w:rPr>
          <w:rFonts w:ascii="Arial" w:hAnsi="Arial" w:cs="Arial"/>
          <w:lang w:val="en-GB"/>
        </w:rPr>
        <w:t xml:space="preserve"> Securities </w:t>
      </w:r>
      <w:proofErr w:type="gramStart"/>
      <w:r w:rsidRPr="006A1297">
        <w:rPr>
          <w:rFonts w:ascii="Arial" w:hAnsi="Arial" w:cs="Arial"/>
          <w:lang w:val="en-GB"/>
        </w:rPr>
        <w:t>Account;</w:t>
      </w:r>
      <w:proofErr w:type="gramEnd"/>
    </w:p>
    <w:p w14:paraId="79383723" w14:textId="3C7572D0" w:rsidR="00A952B4" w:rsidRPr="006A1297" w:rsidRDefault="00A952B4">
      <w:pPr>
        <w:numPr>
          <w:ilvl w:val="0"/>
          <w:numId w:val="13"/>
        </w:numPr>
        <w:jc w:val="both"/>
        <w:rPr>
          <w:rFonts w:ascii="Arial" w:hAnsi="Arial" w:cs="Arial"/>
          <w:i/>
          <w:iCs/>
          <w:lang w:val="en-GB"/>
        </w:rPr>
      </w:pPr>
      <w:r w:rsidRPr="006A1297">
        <w:rPr>
          <w:rFonts w:ascii="Arial" w:hAnsi="Arial" w:cs="Arial"/>
          <w:lang w:val="en-GB"/>
        </w:rPr>
        <w:t xml:space="preserve">transfer from the Client’s </w:t>
      </w:r>
      <w:r w:rsidR="00570D97">
        <w:rPr>
          <w:rFonts w:ascii="Arial" w:hAnsi="Arial" w:cs="Arial"/>
          <w:lang w:val="en-GB"/>
        </w:rPr>
        <w:t>pension</w:t>
      </w:r>
      <w:r w:rsidRPr="006A1297">
        <w:rPr>
          <w:rFonts w:ascii="Arial" w:hAnsi="Arial" w:cs="Arial"/>
          <w:lang w:val="en-GB"/>
        </w:rPr>
        <w:t xml:space="preserve"> account kept with another account-holding bank, on the basis of a confirmation issued by the account-holding bank regarding the balance of the given </w:t>
      </w:r>
      <w:r w:rsidR="00570D97">
        <w:rPr>
          <w:rFonts w:ascii="Arial" w:hAnsi="Arial" w:cs="Arial"/>
          <w:lang w:val="en-GB"/>
        </w:rPr>
        <w:t>pension</w:t>
      </w:r>
      <w:r w:rsidRPr="006A1297">
        <w:rPr>
          <w:rFonts w:ascii="Arial" w:hAnsi="Arial" w:cs="Arial"/>
          <w:lang w:val="en-GB"/>
        </w:rPr>
        <w:t xml:space="preserve"> </w:t>
      </w:r>
      <w:proofErr w:type="gramStart"/>
      <w:r w:rsidRPr="006A1297">
        <w:rPr>
          <w:rFonts w:ascii="Arial" w:hAnsi="Arial" w:cs="Arial"/>
          <w:lang w:val="en-GB"/>
        </w:rPr>
        <w:t>account;</w:t>
      </w:r>
      <w:proofErr w:type="gramEnd"/>
    </w:p>
    <w:p w14:paraId="7CA84561" w14:textId="77777777" w:rsidR="00A952B4" w:rsidRPr="006A1297" w:rsidRDefault="00A952B4">
      <w:pPr>
        <w:numPr>
          <w:ilvl w:val="0"/>
          <w:numId w:val="13"/>
        </w:numPr>
        <w:jc w:val="both"/>
        <w:rPr>
          <w:rFonts w:ascii="Arial" w:hAnsi="Arial" w:cs="Arial"/>
          <w:color w:val="000000"/>
          <w:lang w:val="en-GB"/>
        </w:rPr>
      </w:pPr>
      <w:r w:rsidRPr="006A1297">
        <w:rPr>
          <w:rFonts w:ascii="Arial" w:hAnsi="Arial" w:cs="Arial"/>
          <w:lang w:val="en-GB"/>
        </w:rPr>
        <w:t xml:space="preserve">advance savings subsidy transferred by the Tax authority to the benefit of the Client </w:t>
      </w:r>
      <w:proofErr w:type="gramStart"/>
      <w:r w:rsidRPr="006A1297">
        <w:rPr>
          <w:rFonts w:ascii="Arial" w:hAnsi="Arial" w:cs="Arial"/>
          <w:lang w:val="en-GB"/>
        </w:rPr>
        <w:t>on the basis of</w:t>
      </w:r>
      <w:proofErr w:type="gramEnd"/>
      <w:r w:rsidRPr="006A1297">
        <w:rPr>
          <w:rFonts w:ascii="Arial" w:hAnsi="Arial" w:cs="Arial"/>
          <w:lang w:val="en-GB"/>
        </w:rPr>
        <w:t xml:space="preserve"> Article 2 Paragraph 2 of the </w:t>
      </w:r>
      <w:proofErr w:type="spellStart"/>
      <w:r w:rsidRPr="006A1297">
        <w:rPr>
          <w:rFonts w:ascii="Arial" w:hAnsi="Arial" w:cs="Arial"/>
          <w:lang w:val="en-GB"/>
        </w:rPr>
        <w:t>Nyesz</w:t>
      </w:r>
      <w:proofErr w:type="spellEnd"/>
      <w:r w:rsidRPr="006A1297">
        <w:rPr>
          <w:rFonts w:ascii="Arial" w:hAnsi="Arial" w:cs="Arial"/>
          <w:lang w:val="en-GB"/>
        </w:rPr>
        <w:t xml:space="preserve"> Act (hereinafter: </w:t>
      </w:r>
      <w:r w:rsidRPr="006A1297">
        <w:rPr>
          <w:rFonts w:ascii="Arial" w:hAnsi="Arial" w:cs="Arial"/>
          <w:b/>
          <w:color w:val="000000"/>
          <w:lang w:val="en-GB"/>
        </w:rPr>
        <w:t>Advance savings subsidy</w:t>
      </w:r>
      <w:r w:rsidRPr="006A1297">
        <w:rPr>
          <w:rFonts w:ascii="Arial" w:hAnsi="Arial" w:cs="Arial"/>
          <w:color w:val="000000"/>
          <w:lang w:val="en-GB"/>
        </w:rPr>
        <w:t>).</w:t>
      </w:r>
    </w:p>
    <w:p w14:paraId="5E7A8A41" w14:textId="77777777" w:rsidR="00A952B4" w:rsidRPr="006A1297" w:rsidRDefault="00A952B4">
      <w:pPr>
        <w:pStyle w:val="Header"/>
        <w:tabs>
          <w:tab w:val="clear" w:pos="4153"/>
          <w:tab w:val="clear" w:pos="8306"/>
        </w:tabs>
        <w:ind w:left="360"/>
        <w:rPr>
          <w:rFonts w:ascii="Arial" w:hAnsi="Arial" w:cs="Arial"/>
          <w:lang w:val="en-GB"/>
        </w:rPr>
      </w:pPr>
      <w:r w:rsidRPr="006A1297">
        <w:rPr>
          <w:rFonts w:ascii="Arial" w:hAnsi="Arial" w:cs="Arial"/>
          <w:lang w:val="en-GB" w:eastAsia="hu-HU"/>
        </w:rPr>
        <w:t>The Bank. cannot be held liable for the consequences of any instructions other than these.</w:t>
      </w:r>
      <w:r w:rsidRPr="006A1297">
        <w:rPr>
          <w:rFonts w:ascii="Arial" w:hAnsi="Arial" w:cs="Arial"/>
          <w:lang w:val="en-GB"/>
        </w:rPr>
        <w:t xml:space="preserve"> </w:t>
      </w:r>
    </w:p>
    <w:p w14:paraId="1E16CEBC" w14:textId="77777777" w:rsidR="00A952B4" w:rsidRPr="006A1297" w:rsidRDefault="00A952B4">
      <w:pPr>
        <w:pStyle w:val="Header"/>
        <w:tabs>
          <w:tab w:val="clear" w:pos="4153"/>
          <w:tab w:val="clear" w:pos="8306"/>
        </w:tabs>
        <w:ind w:left="360"/>
        <w:rPr>
          <w:rFonts w:ascii="Arial" w:hAnsi="Arial" w:cs="Arial"/>
          <w:lang w:val="en-GB"/>
        </w:rPr>
      </w:pPr>
    </w:p>
    <w:p w14:paraId="6C05C415" w14:textId="00C257E1" w:rsidR="00A952B4" w:rsidRPr="006A1297" w:rsidRDefault="00A952B4">
      <w:pPr>
        <w:pStyle w:val="Header"/>
        <w:numPr>
          <w:ilvl w:val="1"/>
          <w:numId w:val="12"/>
        </w:numPr>
        <w:tabs>
          <w:tab w:val="clear" w:pos="4153"/>
          <w:tab w:val="clear" w:pos="8306"/>
        </w:tabs>
        <w:rPr>
          <w:rFonts w:ascii="Arial" w:hAnsi="Arial" w:cs="Arial"/>
          <w:color w:val="000000"/>
          <w:lang w:val="en-GB"/>
        </w:rPr>
      </w:pPr>
      <w:r w:rsidRPr="006A1297">
        <w:rPr>
          <w:rFonts w:ascii="Arial" w:hAnsi="Arial" w:cs="Arial"/>
          <w:lang w:val="en-GB"/>
        </w:rPr>
        <w:t xml:space="preserve">The Client acknowledges that the Bank will refuse the execution of transfer orders regarding the transfers between the </w:t>
      </w:r>
      <w:r w:rsidR="00570D97">
        <w:rPr>
          <w:rFonts w:ascii="Arial" w:hAnsi="Arial" w:cs="Arial"/>
          <w:lang w:val="en-GB"/>
        </w:rPr>
        <w:t>Pension</w:t>
      </w:r>
      <w:r w:rsidRPr="006A1297">
        <w:rPr>
          <w:rFonts w:ascii="Arial" w:hAnsi="Arial" w:cs="Arial"/>
          <w:lang w:val="en-GB"/>
        </w:rPr>
        <w:t xml:space="preserve"> accounts.</w:t>
      </w:r>
    </w:p>
    <w:p w14:paraId="344045E7" w14:textId="77777777" w:rsidR="00A952B4" w:rsidRPr="006A1297" w:rsidRDefault="00A952B4">
      <w:pPr>
        <w:pStyle w:val="Header"/>
        <w:tabs>
          <w:tab w:val="clear" w:pos="4153"/>
          <w:tab w:val="clear" w:pos="8306"/>
        </w:tabs>
        <w:rPr>
          <w:rFonts w:ascii="Arial" w:hAnsi="Arial" w:cs="Arial"/>
          <w:lang w:val="en-GB"/>
        </w:rPr>
      </w:pPr>
    </w:p>
    <w:p w14:paraId="20C67487" w14:textId="3AB1FCB3" w:rsidR="00A952B4" w:rsidRPr="006A1297" w:rsidRDefault="00A952B4">
      <w:pPr>
        <w:pStyle w:val="Header"/>
        <w:numPr>
          <w:ilvl w:val="1"/>
          <w:numId w:val="12"/>
        </w:numPr>
        <w:tabs>
          <w:tab w:val="clear" w:pos="4153"/>
          <w:tab w:val="clear" w:pos="8306"/>
        </w:tabs>
        <w:rPr>
          <w:rFonts w:ascii="Arial" w:hAnsi="Arial" w:cs="Arial"/>
          <w:color w:val="000000"/>
          <w:lang w:val="en-GB"/>
        </w:rPr>
      </w:pPr>
      <w:r w:rsidRPr="006A1297">
        <w:rPr>
          <w:rFonts w:ascii="Arial" w:hAnsi="Arial" w:cs="Arial"/>
          <w:lang w:val="en-GB"/>
        </w:rPr>
        <w:t xml:space="preserve">The Client acknowledges that the Bank shall indicate in the certificate being the basis of the </w:t>
      </w:r>
      <w:r w:rsidR="00570D97">
        <w:rPr>
          <w:rFonts w:ascii="Arial" w:hAnsi="Arial" w:cs="Arial"/>
          <w:lang w:val="en-GB"/>
        </w:rPr>
        <w:t>pension</w:t>
      </w:r>
      <w:r w:rsidRPr="006A1297">
        <w:rPr>
          <w:rFonts w:ascii="Arial" w:hAnsi="Arial" w:cs="Arial"/>
          <w:lang w:val="en-GB"/>
        </w:rPr>
        <w:t xml:space="preserve"> pre-savings declaration according to </w:t>
      </w:r>
      <w:r w:rsidR="00C454EF">
        <w:rPr>
          <w:rFonts w:ascii="Arial" w:hAnsi="Arial" w:cs="Arial"/>
          <w:lang w:val="en-GB"/>
        </w:rPr>
        <w:t xml:space="preserve">Act </w:t>
      </w:r>
      <w:r w:rsidRPr="006A1297">
        <w:rPr>
          <w:rFonts w:ascii="Arial" w:hAnsi="Arial" w:cs="Arial"/>
          <w:lang w:val="en-GB"/>
        </w:rPr>
        <w:t>CXVII of 1995 on personal income tax (</w:t>
      </w:r>
      <w:proofErr w:type="spellStart"/>
      <w:r w:rsidRPr="006A1297">
        <w:rPr>
          <w:rFonts w:ascii="Arial" w:hAnsi="Arial" w:cs="Arial"/>
          <w:lang w:val="en-GB"/>
        </w:rPr>
        <w:t>Szja</w:t>
      </w:r>
      <w:proofErr w:type="spellEnd"/>
      <w:r w:rsidRPr="006A1297">
        <w:rPr>
          <w:rFonts w:ascii="Arial" w:hAnsi="Arial" w:cs="Arial"/>
          <w:lang w:val="en-GB"/>
        </w:rPr>
        <w:t xml:space="preserve"> Act) the amount recorded on the account marked with (1) as the amount serving as the basis of the entitlement of disposal.</w:t>
      </w:r>
    </w:p>
    <w:p w14:paraId="78712F10" w14:textId="77777777" w:rsidR="00A952B4" w:rsidRPr="006A1297" w:rsidRDefault="00A952B4">
      <w:pPr>
        <w:pStyle w:val="Header"/>
        <w:tabs>
          <w:tab w:val="clear" w:pos="4153"/>
          <w:tab w:val="clear" w:pos="8306"/>
        </w:tabs>
        <w:rPr>
          <w:rFonts w:ascii="Arial" w:hAnsi="Arial" w:cs="Arial"/>
          <w:lang w:val="en-GB"/>
        </w:rPr>
      </w:pPr>
    </w:p>
    <w:p w14:paraId="292778B8" w14:textId="2EFED7D4"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furthermore acknowledges that if the amount of an order given by him/her on the charges of one of the </w:t>
      </w:r>
      <w:r w:rsidR="00570D97">
        <w:rPr>
          <w:rFonts w:ascii="Arial" w:hAnsi="Arial" w:cs="Arial"/>
          <w:lang w:val="en-GB"/>
        </w:rPr>
        <w:t>Pension</w:t>
      </w:r>
      <w:r w:rsidRPr="006A1297">
        <w:rPr>
          <w:rFonts w:ascii="Arial" w:hAnsi="Arial" w:cs="Arial"/>
          <w:lang w:val="en-GB"/>
        </w:rPr>
        <w:t xml:space="preserve"> Savings Accounts is more than the amount available on the given </w:t>
      </w:r>
      <w:r w:rsidR="00570D97">
        <w:rPr>
          <w:rFonts w:ascii="Arial" w:hAnsi="Arial" w:cs="Arial"/>
          <w:lang w:val="en-GB"/>
        </w:rPr>
        <w:t>Pension</w:t>
      </w:r>
      <w:r w:rsidRPr="006A1297">
        <w:rPr>
          <w:rFonts w:ascii="Arial" w:hAnsi="Arial" w:cs="Arial"/>
          <w:lang w:val="en-GB"/>
        </w:rPr>
        <w:t xml:space="preserve"> Savings Account, he/she shall be required to give the order in a manner that he/she gives a separate order for each of the </w:t>
      </w:r>
      <w:r w:rsidR="00570D97">
        <w:rPr>
          <w:rFonts w:ascii="Arial" w:hAnsi="Arial" w:cs="Arial"/>
          <w:lang w:val="en-GB"/>
        </w:rPr>
        <w:t>Pension</w:t>
      </w:r>
      <w:r w:rsidRPr="006A1297">
        <w:rPr>
          <w:rFonts w:ascii="Arial" w:hAnsi="Arial" w:cs="Arial"/>
          <w:lang w:val="en-GB"/>
        </w:rPr>
        <w:t xml:space="preserve"> Savings Accounts - at most to the extent of the available balance of the given account - but at most two orders, the amounts of which total to the counter value of the order. In other </w:t>
      </w:r>
      <w:proofErr w:type="gramStart"/>
      <w:r w:rsidRPr="006A1297">
        <w:rPr>
          <w:rFonts w:ascii="Arial" w:hAnsi="Arial" w:cs="Arial"/>
          <w:lang w:val="en-GB"/>
        </w:rPr>
        <w:t>cases</w:t>
      </w:r>
      <w:proofErr w:type="gramEnd"/>
      <w:r w:rsidRPr="006A1297">
        <w:rPr>
          <w:rFonts w:ascii="Arial" w:hAnsi="Arial" w:cs="Arial"/>
          <w:lang w:val="en-GB"/>
        </w:rPr>
        <w:t xml:space="preserve"> the Bank shall be entitled to refuse to execute the order submitted on the charges of the given </w:t>
      </w:r>
      <w:r w:rsidR="00570D97">
        <w:rPr>
          <w:rFonts w:ascii="Arial" w:hAnsi="Arial" w:cs="Arial"/>
          <w:lang w:val="en-GB"/>
        </w:rPr>
        <w:t>Pension</w:t>
      </w:r>
      <w:r w:rsidRPr="006A1297">
        <w:rPr>
          <w:rFonts w:ascii="Arial" w:hAnsi="Arial" w:cs="Arial"/>
          <w:lang w:val="en-GB"/>
        </w:rPr>
        <w:t xml:space="preserve"> Savings Account with an amount in excess of the amount recorded on the </w:t>
      </w:r>
      <w:r w:rsidR="00570D97">
        <w:rPr>
          <w:rFonts w:ascii="Arial" w:hAnsi="Arial" w:cs="Arial"/>
          <w:lang w:val="en-GB"/>
        </w:rPr>
        <w:t>Pension</w:t>
      </w:r>
      <w:r w:rsidRPr="006A1297">
        <w:rPr>
          <w:rFonts w:ascii="Arial" w:hAnsi="Arial" w:cs="Arial"/>
          <w:lang w:val="en-GB"/>
        </w:rPr>
        <w:t xml:space="preserve"> Savings Account. The two purchase orders made necessarily according to this Section may be executed according to the currently effective trading rules of the regulated markets in certain cases at different prices, or – having regard for the specified limit price – one of the orders may not be executed; the risks of this shall be borne by the Client.</w:t>
      </w:r>
    </w:p>
    <w:p w14:paraId="6A4EE0B7" w14:textId="77777777" w:rsidR="00A952B4" w:rsidRPr="006A1297" w:rsidRDefault="00A952B4">
      <w:pPr>
        <w:pStyle w:val="Header"/>
        <w:tabs>
          <w:tab w:val="clear" w:pos="4153"/>
          <w:tab w:val="clear" w:pos="8306"/>
        </w:tabs>
        <w:rPr>
          <w:rFonts w:ascii="Arial" w:hAnsi="Arial" w:cs="Arial"/>
          <w:lang w:val="en-GB"/>
        </w:rPr>
      </w:pPr>
    </w:p>
    <w:p w14:paraId="6F0FBD52" w14:textId="01AAB776"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Parties </w:t>
      </w:r>
      <w:proofErr w:type="gramStart"/>
      <w:r w:rsidRPr="006A1297">
        <w:rPr>
          <w:rFonts w:ascii="Arial" w:hAnsi="Arial" w:cs="Arial"/>
          <w:lang w:val="en-GB"/>
        </w:rPr>
        <w:t>agree,</w:t>
      </w:r>
      <w:proofErr w:type="gramEnd"/>
      <w:r w:rsidRPr="006A1297">
        <w:rPr>
          <w:rFonts w:ascii="Arial" w:hAnsi="Arial" w:cs="Arial"/>
          <w:lang w:val="en-GB"/>
        </w:rPr>
        <w:t xml:space="preserve"> that the Bank shall pay on the funds deposited on the </w:t>
      </w:r>
      <w:r w:rsidR="00570D97">
        <w:rPr>
          <w:rFonts w:ascii="Arial" w:hAnsi="Arial" w:cs="Arial"/>
          <w:lang w:val="en-GB"/>
        </w:rPr>
        <w:t>Pension</w:t>
      </w:r>
      <w:r w:rsidRPr="006A1297">
        <w:rPr>
          <w:rFonts w:ascii="Arial" w:hAnsi="Arial" w:cs="Arial"/>
          <w:lang w:val="en-GB"/>
        </w:rPr>
        <w:t xml:space="preserve"> Savings Accounts an interest defined in the currently effective Announcement.</w:t>
      </w:r>
    </w:p>
    <w:p w14:paraId="49DEE1C2" w14:textId="77777777" w:rsidR="00A952B4" w:rsidRPr="006A1297" w:rsidRDefault="00A952B4">
      <w:pPr>
        <w:pStyle w:val="Header"/>
        <w:tabs>
          <w:tab w:val="clear" w:pos="4153"/>
          <w:tab w:val="clear" w:pos="8306"/>
        </w:tabs>
        <w:rPr>
          <w:rFonts w:ascii="Arial" w:hAnsi="Arial" w:cs="Arial"/>
          <w:lang w:val="en-GB"/>
        </w:rPr>
      </w:pPr>
    </w:p>
    <w:p w14:paraId="0687A9C5" w14:textId="0D4CDC5F"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Deposits may be placed on the </w:t>
      </w:r>
      <w:r w:rsidR="00570D97">
        <w:rPr>
          <w:rFonts w:ascii="Arial" w:hAnsi="Arial" w:cs="Arial"/>
          <w:lang w:val="en-GB"/>
        </w:rPr>
        <w:t>Pension</w:t>
      </w:r>
      <w:r w:rsidRPr="006A1297">
        <w:rPr>
          <w:rFonts w:ascii="Arial" w:hAnsi="Arial" w:cs="Arial"/>
          <w:lang w:val="en-GB"/>
        </w:rPr>
        <w:t xml:space="preserve"> Savings Account in accordance with the General Business Conditions and the Business Conditions for Private Customers.</w:t>
      </w:r>
    </w:p>
    <w:p w14:paraId="1D889953" w14:textId="77777777" w:rsidR="00A952B4" w:rsidRPr="006A1297" w:rsidRDefault="00A952B4">
      <w:pPr>
        <w:pStyle w:val="Header"/>
        <w:tabs>
          <w:tab w:val="clear" w:pos="4153"/>
          <w:tab w:val="clear" w:pos="8306"/>
        </w:tabs>
        <w:rPr>
          <w:rFonts w:ascii="Arial" w:hAnsi="Arial" w:cs="Arial"/>
          <w:lang w:val="en-GB"/>
        </w:rPr>
      </w:pPr>
    </w:p>
    <w:p w14:paraId="1C6EC5D1" w14:textId="58AEEC53"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understands that the credit balance recorded on the </w:t>
      </w:r>
      <w:r w:rsidR="00570D97">
        <w:rPr>
          <w:rFonts w:ascii="Arial" w:hAnsi="Arial" w:cs="Arial"/>
          <w:lang w:val="en-GB"/>
        </w:rPr>
        <w:t>Pension</w:t>
      </w:r>
      <w:r w:rsidRPr="006A1297">
        <w:rPr>
          <w:rFonts w:ascii="Arial" w:hAnsi="Arial" w:cs="Arial"/>
          <w:lang w:val="en-GB"/>
        </w:rPr>
        <w:t xml:space="preserve"> Savings Accounts – together with other deposits of the Client placed with the Bank – as well as the interests thereof are insured by the National Deposit Insurance Fund according to Sections </w:t>
      </w:r>
      <w:r w:rsidR="00C454EF" w:rsidRPr="00C454EF">
        <w:rPr>
          <w:rFonts w:ascii="Arial" w:hAnsi="Arial" w:cs="Arial"/>
          <w:lang w:val="en-GB"/>
        </w:rPr>
        <w:t xml:space="preserve">209-219 of Act CCXXXVII. of 2013 (hereinafter: </w:t>
      </w:r>
      <w:r w:rsidR="00C454EF" w:rsidRPr="00C454EF">
        <w:rPr>
          <w:rFonts w:ascii="Arial" w:hAnsi="Arial" w:cs="Arial"/>
          <w:b/>
          <w:lang w:val="en-GB"/>
        </w:rPr>
        <w:t>Banking Act</w:t>
      </w:r>
      <w:r w:rsidR="00906E29">
        <w:rPr>
          <w:rFonts w:ascii="Arial" w:hAnsi="Arial" w:cs="Arial"/>
          <w:b/>
          <w:lang w:val="en-GB"/>
        </w:rPr>
        <w:t>)</w:t>
      </w:r>
      <w:r w:rsidRPr="006A1297">
        <w:rPr>
          <w:rFonts w:ascii="Arial" w:hAnsi="Arial" w:cs="Arial"/>
          <w:lang w:val="en-GB"/>
        </w:rPr>
        <w:t>.</w:t>
      </w:r>
    </w:p>
    <w:p w14:paraId="60A7B366" w14:textId="77777777" w:rsidR="00A952B4" w:rsidRPr="006A1297" w:rsidRDefault="00A952B4">
      <w:pPr>
        <w:pStyle w:val="Header"/>
        <w:tabs>
          <w:tab w:val="clear" w:pos="4153"/>
          <w:tab w:val="clear" w:pos="8306"/>
        </w:tabs>
        <w:rPr>
          <w:rFonts w:ascii="Arial" w:hAnsi="Arial" w:cs="Arial"/>
          <w:b/>
          <w:bCs/>
          <w:lang w:val="en-GB"/>
        </w:rPr>
      </w:pPr>
    </w:p>
    <w:p w14:paraId="1C9A2D0B" w14:textId="49AD0562"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 xml:space="preserve">Consolidated </w:t>
      </w:r>
      <w:r w:rsidR="00570D97">
        <w:rPr>
          <w:rFonts w:ascii="Arial" w:hAnsi="Arial" w:cs="Arial"/>
          <w:b/>
          <w:bCs/>
          <w:lang w:val="en-GB"/>
        </w:rPr>
        <w:t>Pension</w:t>
      </w:r>
      <w:r w:rsidRPr="006A1297">
        <w:rPr>
          <w:rFonts w:ascii="Arial" w:hAnsi="Arial" w:cs="Arial"/>
          <w:b/>
          <w:bCs/>
          <w:lang w:val="en-GB"/>
        </w:rPr>
        <w:t xml:space="preserve"> Savings Securities Account</w:t>
      </w:r>
    </w:p>
    <w:p w14:paraId="61BEC26E" w14:textId="77777777" w:rsidR="00A952B4" w:rsidRPr="006A1297" w:rsidRDefault="00A952B4">
      <w:pPr>
        <w:pStyle w:val="Header"/>
        <w:tabs>
          <w:tab w:val="clear" w:pos="4153"/>
          <w:tab w:val="clear" w:pos="8306"/>
        </w:tabs>
        <w:rPr>
          <w:rFonts w:ascii="Arial" w:hAnsi="Arial" w:cs="Arial"/>
          <w:b/>
          <w:bCs/>
          <w:lang w:val="en-GB"/>
        </w:rPr>
      </w:pPr>
    </w:p>
    <w:p w14:paraId="6E35E214" w14:textId="5A9F96FD" w:rsidR="00A952B4" w:rsidRDefault="00A952B4">
      <w:pPr>
        <w:pStyle w:val="Header"/>
        <w:numPr>
          <w:ilvl w:val="1"/>
          <w:numId w:val="12"/>
        </w:numPr>
        <w:tabs>
          <w:tab w:val="clear" w:pos="4153"/>
          <w:tab w:val="clear" w:pos="8306"/>
        </w:tabs>
        <w:rPr>
          <w:rFonts w:ascii="Arial" w:hAnsi="Arial" w:cs="Arial"/>
          <w:bCs/>
          <w:color w:val="000000"/>
          <w:lang w:val="en-GB"/>
        </w:rPr>
      </w:pPr>
      <w:r w:rsidRPr="006A1297">
        <w:rPr>
          <w:rFonts w:ascii="Arial" w:hAnsi="Arial" w:cs="Arial"/>
          <w:bCs/>
          <w:lang w:val="en-GB"/>
        </w:rPr>
        <w:t xml:space="preserve">The Parties agree that the Bank shall open and administer for the Client a Consolidated </w:t>
      </w:r>
      <w:r w:rsidR="00570D97">
        <w:rPr>
          <w:rFonts w:ascii="Arial" w:hAnsi="Arial" w:cs="Arial"/>
          <w:bCs/>
          <w:lang w:val="en-GB"/>
        </w:rPr>
        <w:t>Pension</w:t>
      </w:r>
      <w:r w:rsidRPr="006A1297">
        <w:rPr>
          <w:rFonts w:ascii="Arial" w:hAnsi="Arial" w:cs="Arial"/>
          <w:bCs/>
          <w:lang w:val="en-GB"/>
        </w:rPr>
        <w:t xml:space="preserve"> Savings Securities Account to keep record of and manage of the printed and book-entry securities (hereinafter: </w:t>
      </w:r>
      <w:r w:rsidRPr="006A1297">
        <w:rPr>
          <w:rFonts w:ascii="Arial" w:hAnsi="Arial" w:cs="Arial"/>
          <w:b/>
          <w:bCs/>
          <w:color w:val="000000"/>
          <w:lang w:val="en-GB"/>
        </w:rPr>
        <w:t xml:space="preserve">Consolidated </w:t>
      </w:r>
      <w:r w:rsidR="00570D97">
        <w:rPr>
          <w:rFonts w:ascii="Arial" w:hAnsi="Arial" w:cs="Arial"/>
          <w:b/>
          <w:bCs/>
          <w:color w:val="000000"/>
          <w:lang w:val="en-GB"/>
        </w:rPr>
        <w:t>Pension</w:t>
      </w:r>
      <w:r w:rsidRPr="006A1297">
        <w:rPr>
          <w:rFonts w:ascii="Arial" w:hAnsi="Arial" w:cs="Arial"/>
          <w:b/>
          <w:bCs/>
          <w:color w:val="000000"/>
          <w:lang w:val="en-GB"/>
        </w:rPr>
        <w:t xml:space="preserve"> Savings Securities Account</w:t>
      </w:r>
      <w:r w:rsidRPr="006A1297">
        <w:rPr>
          <w:rFonts w:ascii="Arial" w:hAnsi="Arial" w:cs="Arial"/>
          <w:bCs/>
          <w:color w:val="000000"/>
          <w:lang w:val="en-GB"/>
        </w:rPr>
        <w:t xml:space="preserve">). </w:t>
      </w:r>
    </w:p>
    <w:p w14:paraId="67B7ED55" w14:textId="77777777" w:rsidR="001A206D" w:rsidRPr="006A1297" w:rsidRDefault="001A206D">
      <w:pPr>
        <w:pStyle w:val="Header"/>
        <w:numPr>
          <w:ilvl w:val="1"/>
          <w:numId w:val="12"/>
        </w:numPr>
        <w:tabs>
          <w:tab w:val="clear" w:pos="4153"/>
          <w:tab w:val="clear" w:pos="8306"/>
        </w:tabs>
        <w:rPr>
          <w:rFonts w:ascii="Arial" w:hAnsi="Arial" w:cs="Arial"/>
          <w:bCs/>
          <w:color w:val="000000"/>
          <w:lang w:val="en-GB"/>
        </w:rPr>
      </w:pPr>
    </w:p>
    <w:p w14:paraId="242F1D97" w14:textId="3BD29A2F" w:rsidR="00A952B4" w:rsidRPr="006A1297" w:rsidRDefault="00A952B4">
      <w:pPr>
        <w:ind w:left="360"/>
        <w:jc w:val="both"/>
        <w:rPr>
          <w:rFonts w:ascii="Arial" w:hAnsi="Arial" w:cs="Arial"/>
          <w:lang w:val="en-GB"/>
        </w:rPr>
      </w:pPr>
      <w:r w:rsidRPr="006A1297">
        <w:rPr>
          <w:rFonts w:ascii="Arial" w:hAnsi="Arial" w:cs="Arial"/>
          <w:lang w:val="en-GB"/>
        </w:rPr>
        <w:t xml:space="preserve">Number of the Client’s Consolidated </w:t>
      </w:r>
      <w:r w:rsidR="00570D97">
        <w:rPr>
          <w:rFonts w:ascii="Arial" w:hAnsi="Arial" w:cs="Arial"/>
          <w:lang w:val="en-GB"/>
        </w:rPr>
        <w:t>Pension</w:t>
      </w:r>
      <w:r w:rsidRPr="006A1297">
        <w:rPr>
          <w:rFonts w:ascii="Arial" w:hAnsi="Arial" w:cs="Arial"/>
          <w:lang w:val="en-GB"/>
        </w:rPr>
        <w:t xml:space="preserve"> Savings Securities Account</w:t>
      </w:r>
      <w:r w:rsidR="00862ABA" w:rsidRPr="006A1297">
        <w:rPr>
          <w:rFonts w:ascii="Arial" w:hAnsi="Arial" w:cs="Arial"/>
          <w:lang w:val="en-GB"/>
        </w:rPr>
        <w:t>:</w:t>
      </w:r>
      <w:r w:rsidR="00862ABA">
        <w:rPr>
          <w:rFonts w:ascii="Arial" w:hAnsi="Arial" w:cs="Arial"/>
          <w:lang w:val="en-GB"/>
        </w:rPr>
        <w:t xml:space="preserve"> </w:t>
      </w:r>
      <w:bookmarkStart w:id="16" w:name="SZAMLA_EPSzamla"/>
      <w:r w:rsidRPr="006A1297">
        <w:rPr>
          <w:rFonts w:ascii="Arial" w:hAnsi="Arial" w:cs="Arial"/>
          <w:lang w:val="en-GB"/>
        </w:rPr>
        <w:t>……………………….</w:t>
      </w:r>
      <w:bookmarkEnd w:id="16"/>
    </w:p>
    <w:p w14:paraId="3E8EFB4E" w14:textId="77777777" w:rsidR="00A952B4" w:rsidRPr="006A1297" w:rsidRDefault="00A952B4">
      <w:pPr>
        <w:ind w:left="360"/>
        <w:jc w:val="both"/>
        <w:rPr>
          <w:rFonts w:ascii="Arial" w:hAnsi="Arial" w:cs="Arial"/>
          <w:lang w:val="en-GB"/>
        </w:rPr>
      </w:pPr>
    </w:p>
    <w:p w14:paraId="0E4BA3D3" w14:textId="545E0BDB" w:rsidR="00A952B4" w:rsidRPr="006A1297" w:rsidRDefault="00A952B4">
      <w:pPr>
        <w:ind w:left="360"/>
        <w:jc w:val="both"/>
        <w:rPr>
          <w:rFonts w:ascii="Arial" w:hAnsi="Arial" w:cs="Arial"/>
          <w:bCs/>
          <w:color w:val="000000"/>
          <w:lang w:val="en-GB"/>
        </w:rPr>
      </w:pPr>
      <w:r w:rsidRPr="006A1297">
        <w:rPr>
          <w:rFonts w:ascii="Arial" w:hAnsi="Arial" w:cs="Arial"/>
          <w:lang w:val="en-GB"/>
        </w:rPr>
        <w:t xml:space="preserve">(the Consolidated </w:t>
      </w:r>
      <w:r w:rsidR="00570D97">
        <w:rPr>
          <w:rFonts w:ascii="Arial" w:hAnsi="Arial" w:cs="Arial"/>
          <w:lang w:val="en-GB"/>
        </w:rPr>
        <w:t>Pension</w:t>
      </w:r>
      <w:r w:rsidRPr="006A1297">
        <w:rPr>
          <w:rFonts w:ascii="Arial" w:hAnsi="Arial" w:cs="Arial"/>
          <w:lang w:val="en-GB"/>
        </w:rPr>
        <w:t xml:space="preserve"> Savings Securities Account and the </w:t>
      </w:r>
      <w:r w:rsidR="00570D97">
        <w:rPr>
          <w:rFonts w:ascii="Arial" w:hAnsi="Arial" w:cs="Arial"/>
          <w:lang w:val="en-GB"/>
        </w:rPr>
        <w:t>Pension</w:t>
      </w:r>
      <w:r w:rsidRPr="006A1297">
        <w:rPr>
          <w:rFonts w:ascii="Arial" w:hAnsi="Arial" w:cs="Arial"/>
          <w:lang w:val="en-GB"/>
        </w:rPr>
        <w:t xml:space="preserve"> Savings Accounts collectively: </w:t>
      </w:r>
      <w:r w:rsidR="00570D97">
        <w:rPr>
          <w:rFonts w:ascii="Arial" w:hAnsi="Arial" w:cs="Arial"/>
          <w:b/>
          <w:bCs/>
          <w:lang w:val="en-GB"/>
        </w:rPr>
        <w:t>Pension</w:t>
      </w:r>
      <w:r w:rsidRPr="006A1297">
        <w:rPr>
          <w:rFonts w:ascii="Arial" w:hAnsi="Arial" w:cs="Arial"/>
          <w:b/>
          <w:bCs/>
          <w:lang w:val="en-GB"/>
        </w:rPr>
        <w:t xml:space="preserve"> Savings Accounts)</w:t>
      </w:r>
    </w:p>
    <w:p w14:paraId="06D889E2" w14:textId="77777777" w:rsidR="00A952B4" w:rsidRPr="006A1297" w:rsidRDefault="00A952B4">
      <w:pPr>
        <w:ind w:left="360"/>
        <w:jc w:val="both"/>
        <w:rPr>
          <w:rFonts w:ascii="Arial" w:hAnsi="Arial" w:cs="Arial"/>
          <w:bCs/>
          <w:color w:val="000000"/>
          <w:lang w:val="en-GB"/>
        </w:rPr>
      </w:pPr>
    </w:p>
    <w:p w14:paraId="3C2E475E" w14:textId="2ABBB2CC"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Bank undertakes to perform on the Consolidated </w:t>
      </w:r>
      <w:r w:rsidR="00570D97">
        <w:rPr>
          <w:rFonts w:ascii="Arial" w:hAnsi="Arial" w:cs="Arial"/>
          <w:lang w:val="en-GB"/>
        </w:rPr>
        <w:t>Pension</w:t>
      </w:r>
      <w:r w:rsidRPr="006A1297">
        <w:rPr>
          <w:rFonts w:ascii="Arial" w:hAnsi="Arial" w:cs="Arial"/>
          <w:lang w:val="en-GB"/>
        </w:rPr>
        <w:t xml:space="preserve"> Savings Securities Account specified in Section 2.1 the Client’s properly submitted orders that can be executed </w:t>
      </w:r>
      <w:r w:rsidR="0012505A">
        <w:rPr>
          <w:rFonts w:ascii="Arial" w:hAnsi="Arial" w:cs="Arial"/>
          <w:lang w:val="en-GB"/>
        </w:rPr>
        <w:t xml:space="preserve">on the securities account </w:t>
      </w:r>
      <w:r w:rsidRPr="006A1297">
        <w:rPr>
          <w:rFonts w:ascii="Arial" w:hAnsi="Arial" w:cs="Arial"/>
          <w:lang w:val="en-GB"/>
        </w:rPr>
        <w:t xml:space="preserve">according to the </w:t>
      </w:r>
      <w:proofErr w:type="spellStart"/>
      <w:r w:rsidRPr="006A1297">
        <w:rPr>
          <w:rFonts w:ascii="Arial" w:hAnsi="Arial" w:cs="Arial"/>
          <w:lang w:val="en-GB"/>
        </w:rPr>
        <w:t>Nyesz</w:t>
      </w:r>
      <w:proofErr w:type="spellEnd"/>
      <w:r w:rsidRPr="006A1297">
        <w:rPr>
          <w:rFonts w:ascii="Arial" w:hAnsi="Arial" w:cs="Arial"/>
          <w:lang w:val="en-GB"/>
        </w:rPr>
        <w:t xml:space="preserve"> Act and the relevant regulations of the Bank. The Client understands that exclusively the printed and book-entry securities can be credited or deposited to the Consolidated </w:t>
      </w:r>
      <w:r w:rsidR="00570D97">
        <w:rPr>
          <w:rFonts w:ascii="Arial" w:hAnsi="Arial" w:cs="Arial"/>
          <w:lang w:val="en-GB"/>
        </w:rPr>
        <w:t>Pension</w:t>
      </w:r>
      <w:r w:rsidRPr="006A1297">
        <w:rPr>
          <w:rFonts w:ascii="Arial" w:hAnsi="Arial" w:cs="Arial"/>
          <w:lang w:val="en-GB"/>
        </w:rPr>
        <w:t xml:space="preserve"> Savings Securities Account that originate from the execution of orders submitted with the coverage of the balance on the </w:t>
      </w:r>
      <w:r w:rsidR="00570D97">
        <w:rPr>
          <w:rFonts w:ascii="Arial" w:hAnsi="Arial" w:cs="Arial"/>
          <w:lang w:val="en-GB"/>
        </w:rPr>
        <w:t>Pension</w:t>
      </w:r>
      <w:r w:rsidRPr="006A1297">
        <w:rPr>
          <w:rFonts w:ascii="Arial" w:hAnsi="Arial" w:cs="Arial"/>
          <w:lang w:val="en-GB"/>
        </w:rPr>
        <w:t xml:space="preserve"> Savings Accounts, and transfers received to the benefit of the Consolidated </w:t>
      </w:r>
      <w:r w:rsidR="00570D97">
        <w:rPr>
          <w:rFonts w:ascii="Arial" w:hAnsi="Arial" w:cs="Arial"/>
          <w:lang w:val="en-GB"/>
        </w:rPr>
        <w:t>Pension</w:t>
      </w:r>
      <w:r w:rsidRPr="006A1297">
        <w:rPr>
          <w:rFonts w:ascii="Arial" w:hAnsi="Arial" w:cs="Arial"/>
          <w:lang w:val="en-GB"/>
        </w:rPr>
        <w:t xml:space="preserve"> Savings Securities Account in the case of the termination of the </w:t>
      </w:r>
      <w:r w:rsidR="00570D97">
        <w:rPr>
          <w:rFonts w:ascii="Arial" w:hAnsi="Arial" w:cs="Arial"/>
          <w:lang w:val="en-GB"/>
        </w:rPr>
        <w:t>Pension</w:t>
      </w:r>
      <w:r w:rsidRPr="006A1297">
        <w:rPr>
          <w:rFonts w:ascii="Arial" w:hAnsi="Arial" w:cs="Arial"/>
          <w:lang w:val="en-GB"/>
        </w:rPr>
        <w:t xml:space="preserve"> Savings Accounts kept with other account-holding bank. </w:t>
      </w:r>
    </w:p>
    <w:p w14:paraId="5674B7B1" w14:textId="77777777" w:rsidR="00A952B4" w:rsidRPr="006A1297" w:rsidRDefault="00A952B4">
      <w:pPr>
        <w:pStyle w:val="Header"/>
        <w:tabs>
          <w:tab w:val="clear" w:pos="4153"/>
          <w:tab w:val="clear" w:pos="8306"/>
        </w:tabs>
        <w:rPr>
          <w:rFonts w:ascii="Arial" w:hAnsi="Arial" w:cs="Arial"/>
          <w:lang w:val="en-GB"/>
        </w:rPr>
      </w:pPr>
    </w:p>
    <w:p w14:paraId="56B7D345" w14:textId="68202A26"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understands that his/her claim recorded on the Consolidated </w:t>
      </w:r>
      <w:r w:rsidR="00570D97">
        <w:rPr>
          <w:rFonts w:ascii="Arial" w:hAnsi="Arial" w:cs="Arial"/>
          <w:lang w:val="en-GB"/>
        </w:rPr>
        <w:t>Pension</w:t>
      </w:r>
      <w:r w:rsidRPr="006A1297">
        <w:rPr>
          <w:rFonts w:ascii="Arial" w:hAnsi="Arial" w:cs="Arial"/>
          <w:lang w:val="en-GB"/>
        </w:rPr>
        <w:t xml:space="preserve"> Savings Securities Account shall be considered as insur</w:t>
      </w:r>
      <w:r w:rsidR="00C454EF">
        <w:rPr>
          <w:rFonts w:ascii="Arial" w:hAnsi="Arial" w:cs="Arial"/>
          <w:lang w:val="en-GB"/>
        </w:rPr>
        <w:t>ed according to the rules of</w:t>
      </w:r>
      <w:r w:rsidRPr="006A1297">
        <w:rPr>
          <w:rFonts w:ascii="Arial" w:hAnsi="Arial" w:cs="Arial"/>
          <w:lang w:val="en-GB"/>
        </w:rPr>
        <w:t xml:space="preserve"> </w:t>
      </w:r>
      <w:r w:rsidR="0079552B">
        <w:rPr>
          <w:rFonts w:ascii="Arial" w:hAnsi="Arial" w:cs="Arial"/>
          <w:lang w:val="en-GB"/>
        </w:rPr>
        <w:t>the capital markets act</w:t>
      </w:r>
      <w:r w:rsidR="0079552B" w:rsidRPr="006A1297">
        <w:rPr>
          <w:rFonts w:ascii="Arial" w:hAnsi="Arial" w:cs="Arial"/>
          <w:lang w:val="en-GB"/>
        </w:rPr>
        <w:t xml:space="preserve"> </w:t>
      </w:r>
      <w:r w:rsidRPr="006A1297">
        <w:rPr>
          <w:rFonts w:ascii="Arial" w:hAnsi="Arial" w:cs="Arial"/>
          <w:lang w:val="en-GB"/>
        </w:rPr>
        <w:t>regarding the Investment Protection Fund.</w:t>
      </w:r>
    </w:p>
    <w:p w14:paraId="6530F354" w14:textId="77777777" w:rsidR="00A952B4" w:rsidRPr="006A1297" w:rsidRDefault="00A952B4">
      <w:pPr>
        <w:pStyle w:val="Header"/>
        <w:tabs>
          <w:tab w:val="clear" w:pos="4153"/>
          <w:tab w:val="clear" w:pos="8306"/>
        </w:tabs>
        <w:spacing w:after="120"/>
        <w:rPr>
          <w:rFonts w:ascii="Arial" w:hAnsi="Arial" w:cs="Arial"/>
          <w:lang w:val="en-GB"/>
        </w:rPr>
      </w:pPr>
    </w:p>
    <w:p w14:paraId="21F3C19F" w14:textId="77777777"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Client’s Declarations</w:t>
      </w:r>
    </w:p>
    <w:p w14:paraId="1F57BE04" w14:textId="77777777" w:rsidR="00A952B4" w:rsidRPr="006A1297" w:rsidRDefault="00A952B4">
      <w:pPr>
        <w:pStyle w:val="Header"/>
        <w:tabs>
          <w:tab w:val="clear" w:pos="4153"/>
          <w:tab w:val="clear" w:pos="8306"/>
        </w:tabs>
        <w:rPr>
          <w:rFonts w:ascii="Arial" w:hAnsi="Arial" w:cs="Arial"/>
          <w:b/>
          <w:bCs/>
          <w:lang w:val="en-GB"/>
        </w:rPr>
      </w:pPr>
    </w:p>
    <w:p w14:paraId="04215D59" w14:textId="77777777"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declares that his/her particulars included in this Agreement correspond to the facts in all respects. The Bank shall accept no liability for losses, arising </w:t>
      </w:r>
      <w:proofErr w:type="gramStart"/>
      <w:r w:rsidRPr="006A1297">
        <w:rPr>
          <w:rFonts w:ascii="Arial" w:hAnsi="Arial" w:cs="Arial"/>
          <w:lang w:val="en-GB"/>
        </w:rPr>
        <w:t>due to the fact that</w:t>
      </w:r>
      <w:proofErr w:type="gramEnd"/>
      <w:r w:rsidRPr="006A1297">
        <w:rPr>
          <w:rFonts w:ascii="Arial" w:hAnsi="Arial" w:cs="Arial"/>
          <w:lang w:val="en-GB"/>
        </w:rPr>
        <w:t xml:space="preserve"> the Client has not reported the changes to his/her data, or has done it too late, or in an incorrect manner. </w:t>
      </w:r>
    </w:p>
    <w:p w14:paraId="0F06D429" w14:textId="77777777" w:rsidR="00A952B4" w:rsidRPr="006A1297" w:rsidRDefault="00A952B4">
      <w:pPr>
        <w:pStyle w:val="Header"/>
        <w:tabs>
          <w:tab w:val="clear" w:pos="4153"/>
          <w:tab w:val="clear" w:pos="8306"/>
        </w:tabs>
        <w:rPr>
          <w:rFonts w:ascii="Arial" w:hAnsi="Arial" w:cs="Arial"/>
          <w:b/>
          <w:bCs/>
          <w:lang w:val="en-GB"/>
        </w:rPr>
      </w:pPr>
    </w:p>
    <w:p w14:paraId="1405DE8C" w14:textId="77777777"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declares, being aware of his/her criminal liabilities, that the transaction orders placed based on this Agreement are submitted in its own name (as actual owner). Client understands that the Bank shall be entitled to require the Client at any time to make such declaration. </w:t>
      </w:r>
    </w:p>
    <w:p w14:paraId="4037566F" w14:textId="77777777" w:rsidR="00A952B4" w:rsidRPr="006A1297" w:rsidRDefault="00A952B4">
      <w:pPr>
        <w:pStyle w:val="Header"/>
        <w:tabs>
          <w:tab w:val="clear" w:pos="4153"/>
          <w:tab w:val="clear" w:pos="8306"/>
        </w:tabs>
        <w:rPr>
          <w:rFonts w:ascii="Arial" w:hAnsi="Arial" w:cs="Arial"/>
          <w:lang w:val="en-GB"/>
        </w:rPr>
      </w:pPr>
    </w:p>
    <w:p w14:paraId="25FBB54B" w14:textId="55F8C71C"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declares that he/she has received information from the Bank regarding the scope of investment instruments, investment and auxiliary investment services offered on the basis of this Agreement, and at the same time he/she understands that on the basis of this Agreement the Bank shall accept orders for the </w:t>
      </w:r>
      <w:r w:rsidR="00570D97">
        <w:rPr>
          <w:rFonts w:ascii="Arial" w:hAnsi="Arial" w:cs="Arial"/>
          <w:lang w:val="en-GB"/>
        </w:rPr>
        <w:t>Pension</w:t>
      </w:r>
      <w:r w:rsidRPr="006A1297">
        <w:rPr>
          <w:rFonts w:ascii="Arial" w:hAnsi="Arial" w:cs="Arial"/>
          <w:lang w:val="en-GB"/>
        </w:rPr>
        <w:t xml:space="preserve"> Savings Accounts exclusively regarding the investment instruments listed in Annex 1 to this Agreement.</w:t>
      </w:r>
    </w:p>
    <w:p w14:paraId="4466D756" w14:textId="77777777" w:rsidR="00A952B4" w:rsidRPr="006A1297" w:rsidRDefault="00A952B4">
      <w:pPr>
        <w:pStyle w:val="Header"/>
        <w:tabs>
          <w:tab w:val="clear" w:pos="4153"/>
          <w:tab w:val="clear" w:pos="8306"/>
        </w:tabs>
        <w:rPr>
          <w:rFonts w:ascii="Arial" w:hAnsi="Arial" w:cs="Arial"/>
          <w:lang w:val="en-GB"/>
        </w:rPr>
      </w:pPr>
    </w:p>
    <w:p w14:paraId="385FD6F5" w14:textId="77777777"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Orders</w:t>
      </w:r>
    </w:p>
    <w:p w14:paraId="4FC6513D" w14:textId="77777777" w:rsidR="00A952B4" w:rsidRPr="006A1297" w:rsidRDefault="00A952B4">
      <w:pPr>
        <w:pStyle w:val="Header"/>
        <w:tabs>
          <w:tab w:val="clear" w:pos="4153"/>
          <w:tab w:val="clear" w:pos="8306"/>
        </w:tabs>
        <w:rPr>
          <w:rFonts w:ascii="Arial" w:hAnsi="Arial" w:cs="Arial"/>
          <w:b/>
          <w:bCs/>
          <w:lang w:val="en-GB"/>
        </w:rPr>
      </w:pPr>
    </w:p>
    <w:p w14:paraId="06278202" w14:textId="6EBA8778"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may give his/her orders regarding the </w:t>
      </w:r>
      <w:r w:rsidR="0012505A" w:rsidRPr="006A1297">
        <w:rPr>
          <w:rFonts w:ascii="Arial" w:hAnsi="Arial" w:cs="Arial"/>
          <w:lang w:val="en-GB"/>
        </w:rPr>
        <w:t xml:space="preserve">Consolidated </w:t>
      </w:r>
      <w:r w:rsidR="00570D97">
        <w:rPr>
          <w:rFonts w:ascii="Arial" w:hAnsi="Arial" w:cs="Arial"/>
          <w:lang w:val="en-GB"/>
        </w:rPr>
        <w:t xml:space="preserve">Pension </w:t>
      </w:r>
      <w:r w:rsidR="0012505A" w:rsidRPr="006A1297">
        <w:rPr>
          <w:rFonts w:ascii="Arial" w:hAnsi="Arial" w:cs="Arial"/>
          <w:lang w:val="en-GB"/>
        </w:rPr>
        <w:t>Securities Account</w:t>
      </w:r>
      <w:r w:rsidRPr="006A1297">
        <w:rPr>
          <w:rFonts w:ascii="Arial" w:hAnsi="Arial" w:cs="Arial"/>
          <w:lang w:val="en-GB"/>
        </w:rPr>
        <w:t xml:space="preserve"> – by observing the restrictions specified herein – in writing, in person or through an authorised person, or, when wishing to use such services, by using the Phone Banking Services of the Bank (hereinafter: “Phone Banking”) in accordance with Section V of this Agreement through phone, as well as by using the Bank’s </w:t>
      </w:r>
      <w:proofErr w:type="spellStart"/>
      <w:r w:rsidR="0012505A">
        <w:rPr>
          <w:rFonts w:ascii="Arial" w:hAnsi="Arial" w:cs="Arial"/>
          <w:lang w:val="en-GB"/>
        </w:rPr>
        <w:t>mBanking</w:t>
      </w:r>
      <w:proofErr w:type="spellEnd"/>
      <w:r w:rsidR="0012505A">
        <w:rPr>
          <w:rFonts w:ascii="Arial" w:hAnsi="Arial" w:cs="Arial"/>
          <w:lang w:val="en-GB"/>
        </w:rPr>
        <w:t xml:space="preserve"> </w:t>
      </w:r>
      <w:r w:rsidRPr="006A1297">
        <w:rPr>
          <w:rFonts w:ascii="Arial" w:hAnsi="Arial" w:cs="Arial"/>
          <w:lang w:val="en-GB"/>
        </w:rPr>
        <w:t xml:space="preserve">service, on the basis of a separate agreement regarding this. </w:t>
      </w:r>
    </w:p>
    <w:p w14:paraId="34B328F8" w14:textId="77777777" w:rsidR="00A952B4" w:rsidRPr="006A1297" w:rsidRDefault="00A952B4">
      <w:pPr>
        <w:pStyle w:val="Header"/>
        <w:tabs>
          <w:tab w:val="clear" w:pos="4153"/>
          <w:tab w:val="clear" w:pos="8306"/>
        </w:tabs>
        <w:rPr>
          <w:rFonts w:ascii="Arial" w:hAnsi="Arial" w:cs="Arial"/>
          <w:lang w:val="en-GB"/>
        </w:rPr>
      </w:pPr>
    </w:p>
    <w:p w14:paraId="58378C4E" w14:textId="146D5B3D" w:rsidR="00A952B4" w:rsidRPr="00442101" w:rsidRDefault="0012505A">
      <w:pPr>
        <w:pStyle w:val="Header"/>
        <w:numPr>
          <w:ilvl w:val="1"/>
          <w:numId w:val="12"/>
        </w:numPr>
        <w:tabs>
          <w:tab w:val="clear" w:pos="4153"/>
          <w:tab w:val="clear" w:pos="8306"/>
        </w:tabs>
        <w:rPr>
          <w:rFonts w:ascii="Arial" w:hAnsi="Arial" w:cs="Arial"/>
          <w:b/>
          <w:lang w:val="en-GB"/>
        </w:rPr>
      </w:pPr>
      <w:r>
        <w:rPr>
          <w:rFonts w:ascii="Arial" w:hAnsi="Arial" w:cs="Arial"/>
          <w:lang w:val="en-GB"/>
        </w:rPr>
        <w:t>Cash transaction o</w:t>
      </w:r>
      <w:r w:rsidR="00A952B4" w:rsidRPr="006A1297">
        <w:rPr>
          <w:rFonts w:ascii="Arial" w:hAnsi="Arial" w:cs="Arial"/>
          <w:lang w:val="en-GB"/>
        </w:rPr>
        <w:t xml:space="preserve">rders regarding </w:t>
      </w:r>
      <w:r w:rsidR="00570D97">
        <w:rPr>
          <w:rFonts w:ascii="Arial" w:hAnsi="Arial" w:cs="Arial"/>
          <w:lang w:val="en-GB"/>
        </w:rPr>
        <w:t>Pension</w:t>
      </w:r>
      <w:r w:rsidR="00A952B4" w:rsidRPr="006A1297">
        <w:rPr>
          <w:rFonts w:ascii="Arial" w:hAnsi="Arial" w:cs="Arial"/>
          <w:lang w:val="en-GB"/>
        </w:rPr>
        <w:t xml:space="preserve"> Savings Accounts </w:t>
      </w:r>
      <w:r w:rsidRPr="00442101">
        <w:rPr>
          <w:rFonts w:ascii="Arial" w:hAnsi="Arial" w:cs="Arial"/>
          <w:b/>
          <w:lang w:val="en-GB"/>
        </w:rPr>
        <w:t xml:space="preserve">may be provided in person at the bank branch and only at the same time as the termination of the </w:t>
      </w:r>
      <w:r w:rsidR="00A952B4" w:rsidRPr="00442101">
        <w:rPr>
          <w:rFonts w:ascii="Arial" w:hAnsi="Arial" w:cs="Arial"/>
          <w:b/>
          <w:lang w:val="en-GB"/>
        </w:rPr>
        <w:t>Agreement.</w:t>
      </w:r>
    </w:p>
    <w:p w14:paraId="660E80D9" w14:textId="77777777" w:rsidR="00A952B4" w:rsidRPr="006A1297" w:rsidRDefault="00A952B4">
      <w:pPr>
        <w:pStyle w:val="Header"/>
        <w:tabs>
          <w:tab w:val="clear" w:pos="4153"/>
          <w:tab w:val="clear" w:pos="8306"/>
        </w:tabs>
        <w:rPr>
          <w:rFonts w:ascii="Arial" w:hAnsi="Arial" w:cs="Arial"/>
          <w:b/>
          <w:bCs/>
          <w:lang w:val="en-GB"/>
        </w:rPr>
      </w:pPr>
    </w:p>
    <w:p w14:paraId="5571EFFA" w14:textId="77777777"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Phone Banking</w:t>
      </w:r>
    </w:p>
    <w:p w14:paraId="0F104049" w14:textId="77777777" w:rsidR="00A952B4" w:rsidRPr="006A1297" w:rsidRDefault="00A952B4">
      <w:pPr>
        <w:pStyle w:val="Header"/>
        <w:tabs>
          <w:tab w:val="clear" w:pos="4153"/>
          <w:tab w:val="clear" w:pos="8306"/>
        </w:tabs>
        <w:rPr>
          <w:rFonts w:ascii="Arial" w:hAnsi="Arial" w:cs="Arial"/>
          <w:b/>
          <w:bCs/>
          <w:lang w:val="en-GB"/>
        </w:rPr>
      </w:pPr>
    </w:p>
    <w:p w14:paraId="7D7EEAA9" w14:textId="5976CAAC"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By signing the Agreement, the Client declares his/her intention to use</w:t>
      </w:r>
      <w:r w:rsidR="00216443">
        <w:rPr>
          <w:rFonts w:ascii="Arial" w:hAnsi="Arial" w:cs="Arial"/>
          <w:lang w:val="en-GB"/>
        </w:rPr>
        <w:t xml:space="preserve">, by signing the </w:t>
      </w:r>
      <w:r w:rsidR="00216443" w:rsidRPr="00950D21">
        <w:rPr>
          <w:rFonts w:ascii="Arial" w:hAnsi="Arial" w:cs="Arial"/>
          <w:b/>
          <w:lang w:val="en-GB"/>
        </w:rPr>
        <w:t>Form o</w:t>
      </w:r>
      <w:r w:rsidR="00F7756C">
        <w:rPr>
          <w:rFonts w:ascii="Arial" w:hAnsi="Arial" w:cs="Arial"/>
          <w:b/>
          <w:lang w:val="en-GB"/>
        </w:rPr>
        <w:t>f</w:t>
      </w:r>
      <w:r w:rsidR="00216443" w:rsidRPr="00950D21">
        <w:rPr>
          <w:rFonts w:ascii="Arial" w:hAnsi="Arial" w:cs="Arial"/>
          <w:b/>
          <w:lang w:val="en-GB"/>
        </w:rPr>
        <w:t xml:space="preserve"> access right</w:t>
      </w:r>
      <w:r w:rsidR="00F7756C">
        <w:rPr>
          <w:rFonts w:ascii="Arial" w:hAnsi="Arial" w:cs="Arial"/>
          <w:b/>
          <w:lang w:val="en-GB"/>
        </w:rPr>
        <w:t xml:space="preserve"> </w:t>
      </w:r>
      <w:r w:rsidR="00216443" w:rsidRPr="00950D21">
        <w:rPr>
          <w:rFonts w:ascii="Arial" w:hAnsi="Arial" w:cs="Arial"/>
          <w:b/>
          <w:lang w:val="en-GB"/>
        </w:rPr>
        <w:t>s</w:t>
      </w:r>
      <w:r w:rsidR="00F7756C">
        <w:rPr>
          <w:rFonts w:ascii="Arial" w:hAnsi="Arial" w:cs="Arial"/>
          <w:b/>
          <w:lang w:val="en-GB"/>
        </w:rPr>
        <w:t>pecifications</w:t>
      </w:r>
      <w:r w:rsidR="00216443" w:rsidRPr="00950D21">
        <w:rPr>
          <w:rFonts w:ascii="Arial" w:hAnsi="Arial" w:cs="Arial"/>
          <w:b/>
          <w:lang w:val="en-GB"/>
        </w:rPr>
        <w:t xml:space="preserve"> for the </w:t>
      </w:r>
      <w:r w:rsidR="00F7756C">
        <w:rPr>
          <w:rFonts w:ascii="Arial" w:hAnsi="Arial" w:cs="Arial"/>
          <w:b/>
          <w:lang w:val="en-GB"/>
        </w:rPr>
        <w:t xml:space="preserve">UniCredit </w:t>
      </w:r>
      <w:r w:rsidR="00216443" w:rsidRPr="00950D21">
        <w:rPr>
          <w:rFonts w:ascii="Arial" w:hAnsi="Arial" w:cs="Arial"/>
          <w:b/>
          <w:lang w:val="en-GB"/>
        </w:rPr>
        <w:t xml:space="preserve">Phone Banking </w:t>
      </w:r>
      <w:r w:rsidR="001A7DF7">
        <w:rPr>
          <w:rFonts w:ascii="Arial" w:hAnsi="Arial" w:cs="Arial"/>
          <w:b/>
          <w:lang w:val="en-GB"/>
        </w:rPr>
        <w:t>s</w:t>
      </w:r>
      <w:r w:rsidR="00216443" w:rsidRPr="00950D21">
        <w:rPr>
          <w:rFonts w:ascii="Arial" w:hAnsi="Arial" w:cs="Arial"/>
          <w:b/>
          <w:lang w:val="en-GB"/>
        </w:rPr>
        <w:t>ervice</w:t>
      </w:r>
      <w:r w:rsidR="00216443">
        <w:rPr>
          <w:rFonts w:ascii="Arial" w:hAnsi="Arial" w:cs="Arial"/>
          <w:b/>
          <w:lang w:val="en-GB"/>
        </w:rPr>
        <w:t>,</w:t>
      </w:r>
      <w:r w:rsidRPr="006A1297">
        <w:rPr>
          <w:rFonts w:ascii="Arial" w:hAnsi="Arial" w:cs="Arial"/>
          <w:lang w:val="en-GB"/>
        </w:rPr>
        <w:t xml:space="preserve"> the Phone Banking Service of the Bank regarding the </w:t>
      </w:r>
      <w:r w:rsidR="00570D97">
        <w:rPr>
          <w:rFonts w:ascii="Arial" w:hAnsi="Arial" w:cs="Arial"/>
          <w:lang w:val="en-GB"/>
        </w:rPr>
        <w:t>Pension</w:t>
      </w:r>
      <w:r w:rsidRPr="006A1297">
        <w:rPr>
          <w:rFonts w:ascii="Arial" w:hAnsi="Arial" w:cs="Arial"/>
          <w:lang w:val="en-GB"/>
        </w:rPr>
        <w:t xml:space="preserve"> Savings Account.</w:t>
      </w:r>
      <w:r w:rsidRPr="006A1297">
        <w:rPr>
          <w:rStyle w:val="FootnoteReference"/>
          <w:rFonts w:ascii="Arial" w:hAnsi="Arial" w:cs="Arial"/>
          <w:lang w:val="en-GB"/>
        </w:rPr>
        <w:footnoteReference w:id="3"/>
      </w:r>
      <w:r w:rsidRPr="006A1297">
        <w:rPr>
          <w:rFonts w:ascii="Arial" w:hAnsi="Arial" w:cs="Arial"/>
          <w:lang w:val="en-GB"/>
        </w:rPr>
        <w:t xml:space="preserve"> </w:t>
      </w:r>
    </w:p>
    <w:p w14:paraId="707EA97F" w14:textId="34FDE9F8" w:rsidR="00A952B4" w:rsidRPr="006A1297" w:rsidRDefault="00A952B4">
      <w:pPr>
        <w:pStyle w:val="Header"/>
        <w:tabs>
          <w:tab w:val="clear" w:pos="4153"/>
          <w:tab w:val="clear" w:pos="8306"/>
        </w:tabs>
        <w:rPr>
          <w:rFonts w:ascii="Arial" w:hAnsi="Arial" w:cs="Arial"/>
          <w:lang w:val="en-GB"/>
        </w:rPr>
      </w:pPr>
      <w:r w:rsidRPr="006A1297">
        <w:rPr>
          <w:rFonts w:ascii="Arial" w:hAnsi="Arial" w:cs="Arial"/>
          <w:b/>
          <w:bCs/>
          <w:lang w:val="en-GB"/>
        </w:rPr>
        <w:tab/>
      </w:r>
      <w:r w:rsidRPr="006A1297">
        <w:rPr>
          <w:rFonts w:ascii="Arial" w:hAnsi="Arial" w:cs="Arial"/>
          <w:b/>
          <w:bCs/>
          <w:lang w:val="en-GB"/>
        </w:rPr>
        <w:tab/>
      </w:r>
      <w:r w:rsidRPr="006A1297">
        <w:rPr>
          <w:rFonts w:ascii="Arial" w:hAnsi="Arial" w:cs="Arial"/>
          <w:b/>
          <w:bCs/>
          <w:lang w:val="en-GB"/>
        </w:rPr>
        <w:tab/>
      </w:r>
      <w:r w:rsidRPr="006A1297">
        <w:rPr>
          <w:rFonts w:ascii="Arial" w:hAnsi="Arial" w:cs="Arial"/>
          <w:b/>
          <w:bCs/>
          <w:lang w:val="en-GB"/>
        </w:rPr>
        <w:tab/>
      </w:r>
      <w:r w:rsidRPr="006A1297">
        <w:rPr>
          <w:rFonts w:ascii="Arial" w:hAnsi="Arial" w:cs="Arial"/>
          <w:b/>
          <w:bCs/>
          <w:lang w:val="en-GB"/>
        </w:rPr>
        <w:tab/>
      </w:r>
      <w:r w:rsidRPr="006A1297">
        <w:rPr>
          <w:rFonts w:ascii="Arial" w:hAnsi="Arial" w:cs="Arial"/>
          <w:b/>
          <w:bCs/>
          <w:lang w:val="en-GB"/>
        </w:rPr>
        <w:tab/>
      </w:r>
      <w:r w:rsidRPr="006A1297">
        <w:rPr>
          <w:rFonts w:ascii="Arial" w:hAnsi="Arial" w:cs="Arial"/>
          <w:b/>
          <w:bCs/>
          <w:lang w:val="en-GB"/>
        </w:rPr>
        <w:tab/>
      </w:r>
      <w:r w:rsidRPr="006A1297">
        <w:rPr>
          <w:rFonts w:ascii="Arial" w:hAnsi="Arial" w:cs="Arial"/>
          <w:b/>
          <w:bCs/>
          <w:lang w:val="en-GB"/>
        </w:rPr>
        <w:tab/>
      </w:r>
    </w:p>
    <w:p w14:paraId="463954C3" w14:textId="59ABD250" w:rsidR="00A952B4" w:rsidRPr="006A1297" w:rsidRDefault="00A952B4" w:rsidP="00442101">
      <w:pPr>
        <w:pStyle w:val="Header"/>
        <w:tabs>
          <w:tab w:val="clear" w:pos="4153"/>
          <w:tab w:val="clear" w:pos="8306"/>
        </w:tabs>
        <w:rPr>
          <w:rFonts w:ascii="Arial" w:hAnsi="Arial" w:cs="Arial"/>
          <w:lang w:val="en-GB"/>
        </w:rPr>
      </w:pPr>
      <w:r w:rsidRPr="006A1297">
        <w:rPr>
          <w:rFonts w:ascii="Arial" w:hAnsi="Arial" w:cs="Arial"/>
          <w:lang w:val="en-GB"/>
        </w:rPr>
        <w:t>The Client</w:t>
      </w:r>
      <w:r w:rsidR="00216443">
        <w:rPr>
          <w:rFonts w:ascii="Arial" w:hAnsi="Arial" w:cs="Arial"/>
          <w:lang w:val="en-GB"/>
        </w:rPr>
        <w:t xml:space="preserve"> acknowledges that he/she may </w:t>
      </w:r>
      <w:r w:rsidR="00CF6DC3">
        <w:rPr>
          <w:rFonts w:ascii="Arial" w:hAnsi="Arial" w:cs="Arial"/>
          <w:lang w:val="en-GB"/>
        </w:rPr>
        <w:t xml:space="preserve">only </w:t>
      </w:r>
      <w:r w:rsidR="00216443">
        <w:rPr>
          <w:rFonts w:ascii="Arial" w:hAnsi="Arial" w:cs="Arial"/>
          <w:lang w:val="en-GB"/>
        </w:rPr>
        <w:t xml:space="preserve">request an exclusive information query right for the </w:t>
      </w:r>
      <w:r w:rsidR="00570D97">
        <w:rPr>
          <w:rFonts w:ascii="Arial" w:hAnsi="Arial" w:cs="Arial"/>
          <w:lang w:val="en-GB"/>
        </w:rPr>
        <w:t>Pension</w:t>
      </w:r>
      <w:r w:rsidR="00216443">
        <w:rPr>
          <w:rFonts w:ascii="Arial" w:hAnsi="Arial" w:cs="Arial"/>
          <w:lang w:val="en-GB"/>
        </w:rPr>
        <w:t xml:space="preserve"> Savings Accounts and that he/she may choose between query and disposition rights for the Consolidated </w:t>
      </w:r>
      <w:r w:rsidR="00570D97">
        <w:rPr>
          <w:rFonts w:ascii="Arial" w:hAnsi="Arial" w:cs="Arial"/>
          <w:lang w:val="en-GB"/>
        </w:rPr>
        <w:t>Pension</w:t>
      </w:r>
      <w:r w:rsidR="00216443">
        <w:rPr>
          <w:rFonts w:ascii="Arial" w:hAnsi="Arial" w:cs="Arial"/>
          <w:lang w:val="en-GB"/>
        </w:rPr>
        <w:t xml:space="preserve"> Securities Account.</w:t>
      </w:r>
    </w:p>
    <w:p w14:paraId="625A15E1" w14:textId="0C0593BB" w:rsidR="00A952B4" w:rsidRPr="006A1297" w:rsidRDefault="00A952B4">
      <w:pPr>
        <w:pStyle w:val="Header"/>
        <w:tabs>
          <w:tab w:val="clear" w:pos="4153"/>
          <w:tab w:val="clear" w:pos="8306"/>
        </w:tabs>
        <w:rPr>
          <w:rFonts w:ascii="Arial" w:hAnsi="Arial" w:cs="Arial"/>
          <w:b/>
          <w:bCs/>
          <w:lang w:val="en-GB"/>
        </w:rPr>
      </w:pPr>
      <w:r w:rsidRPr="006A1297">
        <w:rPr>
          <w:rFonts w:ascii="Arial" w:hAnsi="Arial" w:cs="Arial"/>
          <w:lang w:val="en-GB"/>
        </w:rPr>
        <w:tab/>
      </w:r>
    </w:p>
    <w:p w14:paraId="350634E7" w14:textId="31D7E3E9" w:rsidR="00A952B4" w:rsidRPr="006A1297" w:rsidRDefault="00892238">
      <w:pPr>
        <w:pStyle w:val="Header"/>
        <w:numPr>
          <w:ilvl w:val="0"/>
          <w:numId w:val="12"/>
        </w:numPr>
        <w:tabs>
          <w:tab w:val="clear" w:pos="4153"/>
          <w:tab w:val="clear" w:pos="8306"/>
        </w:tabs>
        <w:rPr>
          <w:rFonts w:ascii="Arial" w:hAnsi="Arial" w:cs="Arial"/>
          <w:b/>
          <w:bCs/>
          <w:lang w:val="en-GB"/>
        </w:rPr>
      </w:pPr>
      <w:proofErr w:type="spellStart"/>
      <w:r>
        <w:rPr>
          <w:rFonts w:ascii="Arial" w:hAnsi="Arial" w:cs="Arial"/>
          <w:b/>
          <w:bCs/>
          <w:lang w:val="en-GB"/>
        </w:rPr>
        <w:t>e</w:t>
      </w:r>
      <w:r w:rsidR="00A952B4" w:rsidRPr="006A1297">
        <w:rPr>
          <w:rFonts w:ascii="Arial" w:hAnsi="Arial" w:cs="Arial"/>
          <w:b/>
          <w:bCs/>
          <w:lang w:val="en-GB"/>
        </w:rPr>
        <w:t>Banking</w:t>
      </w:r>
      <w:proofErr w:type="spellEnd"/>
    </w:p>
    <w:p w14:paraId="4A28456E" w14:textId="77777777" w:rsidR="00A952B4" w:rsidRPr="006A1297" w:rsidRDefault="00A952B4">
      <w:pPr>
        <w:pStyle w:val="Header"/>
        <w:tabs>
          <w:tab w:val="clear" w:pos="4153"/>
          <w:tab w:val="clear" w:pos="8306"/>
        </w:tabs>
        <w:rPr>
          <w:rFonts w:ascii="Arial" w:hAnsi="Arial" w:cs="Arial"/>
          <w:b/>
          <w:bCs/>
          <w:lang w:val="en-GB"/>
        </w:rPr>
      </w:pPr>
    </w:p>
    <w:p w14:paraId="3D098EC7" w14:textId="204894EF" w:rsidR="00A952B4" w:rsidRDefault="00C454EF" w:rsidP="00D83ADC">
      <w:pPr>
        <w:pStyle w:val="BodyText"/>
        <w:rPr>
          <w:rFonts w:ascii="Arial" w:hAnsi="Arial" w:cs="Arial"/>
          <w:i/>
          <w:lang w:val="en-GB"/>
        </w:rPr>
      </w:pPr>
      <w:r w:rsidRPr="00985C09">
        <w:rPr>
          <w:rFonts w:ascii="Arial" w:hAnsi="Arial" w:cs="Arial"/>
          <w:lang w:val="en-GB"/>
        </w:rPr>
        <w:t>By signing the Agreement</w:t>
      </w:r>
      <w:r w:rsidR="001A206D">
        <w:rPr>
          <w:rFonts w:ascii="Arial" w:hAnsi="Arial" w:cs="Arial"/>
          <w:lang w:val="en-GB"/>
        </w:rPr>
        <w:t>,</w:t>
      </w:r>
      <w:r w:rsidRPr="00985C09">
        <w:rPr>
          <w:rFonts w:ascii="Arial" w:hAnsi="Arial" w:cs="Arial"/>
          <w:lang w:val="en-GB"/>
        </w:rPr>
        <w:t xml:space="preserve"> the Account Holder declares that he/she </w:t>
      </w:r>
      <w:r w:rsidR="00EC1701">
        <w:rPr>
          <w:rFonts w:ascii="Arial" w:hAnsi="Arial" w:cs="Arial"/>
          <w:lang w:val="en-GB"/>
        </w:rPr>
        <w:t xml:space="preserve">provides for the use of the </w:t>
      </w:r>
      <w:proofErr w:type="spellStart"/>
      <w:r w:rsidR="00EC1701">
        <w:rPr>
          <w:rFonts w:ascii="Arial" w:hAnsi="Arial" w:cs="Arial"/>
          <w:lang w:val="en-GB"/>
        </w:rPr>
        <w:t>eBanking</w:t>
      </w:r>
      <w:proofErr w:type="spellEnd"/>
      <w:r w:rsidR="00EC1701">
        <w:rPr>
          <w:rFonts w:ascii="Arial" w:hAnsi="Arial" w:cs="Arial"/>
          <w:lang w:val="en-GB"/>
        </w:rPr>
        <w:t xml:space="preserve"> service in connection with the </w:t>
      </w:r>
      <w:r w:rsidR="00570D97">
        <w:rPr>
          <w:rFonts w:ascii="Arial" w:hAnsi="Arial" w:cs="Arial"/>
          <w:lang w:val="en-GB"/>
        </w:rPr>
        <w:t>Pension</w:t>
      </w:r>
      <w:r w:rsidR="00EC1701">
        <w:rPr>
          <w:rFonts w:ascii="Arial" w:hAnsi="Arial" w:cs="Arial"/>
          <w:lang w:val="en-GB"/>
        </w:rPr>
        <w:t xml:space="preserve"> Savings Account and, specifically, by signing the </w:t>
      </w:r>
      <w:r w:rsidR="00F7756C">
        <w:rPr>
          <w:rFonts w:ascii="Arial" w:hAnsi="Arial" w:cs="Arial"/>
          <w:b/>
          <w:lang w:val="en-GB"/>
        </w:rPr>
        <w:t xml:space="preserve">Data sheet </w:t>
      </w:r>
      <w:r w:rsidR="00EC1701" w:rsidRPr="00950D21">
        <w:rPr>
          <w:rFonts w:ascii="Arial" w:hAnsi="Arial" w:cs="Arial"/>
          <w:b/>
          <w:lang w:val="en-GB"/>
        </w:rPr>
        <w:t xml:space="preserve">for </w:t>
      </w:r>
      <w:r w:rsidR="00F7756C">
        <w:rPr>
          <w:rFonts w:ascii="Arial" w:hAnsi="Arial" w:cs="Arial"/>
          <w:b/>
          <w:lang w:val="en-GB"/>
        </w:rPr>
        <w:t xml:space="preserve">the </w:t>
      </w:r>
      <w:r w:rsidR="00EC1701" w:rsidRPr="00950D21">
        <w:rPr>
          <w:rFonts w:ascii="Arial" w:hAnsi="Arial" w:cs="Arial"/>
          <w:b/>
          <w:lang w:val="en-GB"/>
        </w:rPr>
        <w:t xml:space="preserve">granting </w:t>
      </w:r>
      <w:r w:rsidR="00F7756C">
        <w:rPr>
          <w:rFonts w:ascii="Arial" w:hAnsi="Arial" w:cs="Arial"/>
          <w:b/>
          <w:lang w:val="en-GB"/>
        </w:rPr>
        <w:t xml:space="preserve">of </w:t>
      </w:r>
      <w:r w:rsidR="00EC1701" w:rsidRPr="00950D21">
        <w:rPr>
          <w:rFonts w:ascii="Arial" w:hAnsi="Arial" w:cs="Arial"/>
          <w:b/>
          <w:lang w:val="en-GB"/>
        </w:rPr>
        <w:t xml:space="preserve">access rights </w:t>
      </w:r>
      <w:r w:rsidR="00F7756C">
        <w:rPr>
          <w:rFonts w:ascii="Arial" w:hAnsi="Arial" w:cs="Arial"/>
          <w:b/>
          <w:lang w:val="en-GB"/>
        </w:rPr>
        <w:t xml:space="preserve">to </w:t>
      </w:r>
      <w:r w:rsidR="00EC1701" w:rsidRPr="00950D21">
        <w:rPr>
          <w:rFonts w:ascii="Arial" w:hAnsi="Arial" w:cs="Arial"/>
          <w:b/>
          <w:lang w:val="en-GB"/>
        </w:rPr>
        <w:t xml:space="preserve">the </w:t>
      </w:r>
      <w:proofErr w:type="spellStart"/>
      <w:r w:rsidR="0013558C">
        <w:rPr>
          <w:rFonts w:ascii="Arial" w:hAnsi="Arial" w:cs="Arial"/>
          <w:b/>
          <w:lang w:val="en-GB"/>
        </w:rPr>
        <w:t>e</w:t>
      </w:r>
      <w:r w:rsidR="00EC1701" w:rsidRPr="00950D21">
        <w:rPr>
          <w:rFonts w:ascii="Arial" w:hAnsi="Arial" w:cs="Arial"/>
          <w:b/>
          <w:lang w:val="en-GB"/>
        </w:rPr>
        <w:t>Banking</w:t>
      </w:r>
      <w:proofErr w:type="spellEnd"/>
      <w:r w:rsidR="00EC1701" w:rsidRPr="00950D21">
        <w:rPr>
          <w:rFonts w:ascii="Arial" w:hAnsi="Arial" w:cs="Arial"/>
          <w:b/>
          <w:lang w:val="en-GB"/>
        </w:rPr>
        <w:t xml:space="preserve"> </w:t>
      </w:r>
      <w:r w:rsidR="00F7756C">
        <w:rPr>
          <w:rFonts w:ascii="Arial" w:hAnsi="Arial" w:cs="Arial"/>
          <w:b/>
          <w:lang w:val="en-GB"/>
        </w:rPr>
        <w:t>s</w:t>
      </w:r>
      <w:r w:rsidR="00EC1701" w:rsidRPr="00950D21">
        <w:rPr>
          <w:rFonts w:ascii="Arial" w:hAnsi="Arial" w:cs="Arial"/>
          <w:b/>
          <w:lang w:val="en-GB"/>
        </w:rPr>
        <w:t>ervice</w:t>
      </w:r>
      <w:r w:rsidR="00EC1701">
        <w:rPr>
          <w:rFonts w:ascii="Arial" w:hAnsi="Arial" w:cs="Arial"/>
          <w:b/>
          <w:lang w:val="en-GB"/>
        </w:rPr>
        <w:t>.</w:t>
      </w:r>
      <w:r w:rsidR="00EC1701" w:rsidRPr="00442101">
        <w:rPr>
          <w:rFonts w:ascii="Arial" w:hAnsi="Arial" w:cs="Arial"/>
          <w:lang w:val="en-GB"/>
        </w:rPr>
        <w:t xml:space="preserve"> </w:t>
      </w:r>
      <w:r w:rsidR="00EC1701">
        <w:rPr>
          <w:rFonts w:ascii="Arial" w:hAnsi="Arial" w:cs="Arial"/>
          <w:lang w:val="en-GB"/>
        </w:rPr>
        <w:t xml:space="preserve">As part of the </w:t>
      </w:r>
      <w:proofErr w:type="spellStart"/>
      <w:r w:rsidR="00892238">
        <w:rPr>
          <w:rFonts w:ascii="Arial" w:hAnsi="Arial" w:cs="Arial"/>
          <w:lang w:val="en-GB"/>
        </w:rPr>
        <w:t>e</w:t>
      </w:r>
      <w:r w:rsidRPr="00985C09">
        <w:rPr>
          <w:rFonts w:ascii="Arial" w:hAnsi="Arial" w:cs="Arial"/>
          <w:lang w:val="en-GB"/>
        </w:rPr>
        <w:t>Banking</w:t>
      </w:r>
      <w:proofErr w:type="spellEnd"/>
      <w:r w:rsidRPr="00985C09">
        <w:rPr>
          <w:rFonts w:ascii="Arial" w:hAnsi="Arial" w:cs="Arial"/>
          <w:lang w:val="en-GB"/>
        </w:rPr>
        <w:t xml:space="preserve"> service</w:t>
      </w:r>
      <w:r w:rsidR="00EC1701">
        <w:rPr>
          <w:rFonts w:ascii="Arial" w:hAnsi="Arial" w:cs="Arial"/>
          <w:lang w:val="en-GB"/>
        </w:rPr>
        <w:t xml:space="preserve">, the Client may only request the right to query information in connection with the </w:t>
      </w:r>
      <w:r w:rsidR="00570D97">
        <w:rPr>
          <w:rFonts w:ascii="Arial" w:hAnsi="Arial" w:cs="Arial"/>
          <w:lang w:val="en-GB"/>
        </w:rPr>
        <w:t>Pension</w:t>
      </w:r>
      <w:r w:rsidR="00EC1701">
        <w:rPr>
          <w:rFonts w:ascii="Arial" w:hAnsi="Arial" w:cs="Arial"/>
          <w:lang w:val="en-GB"/>
        </w:rPr>
        <w:t xml:space="preserve"> Savings </w:t>
      </w:r>
      <w:proofErr w:type="spellStart"/>
      <w:r w:rsidR="00EC1701">
        <w:rPr>
          <w:rFonts w:ascii="Arial" w:hAnsi="Arial" w:cs="Arial"/>
          <w:lang w:val="en-GB"/>
        </w:rPr>
        <w:t>Accounts.</w:t>
      </w:r>
      <w:r w:rsidRPr="00985C09">
        <w:rPr>
          <w:rFonts w:ascii="Arial" w:hAnsi="Arial" w:cs="Arial"/>
          <w:lang w:val="en-GB"/>
        </w:rPr>
        <w:t>The</w:t>
      </w:r>
      <w:proofErr w:type="spellEnd"/>
      <w:r w:rsidRPr="00985C09">
        <w:rPr>
          <w:rFonts w:ascii="Arial" w:hAnsi="Arial" w:cs="Arial"/>
          <w:lang w:val="en-GB"/>
        </w:rPr>
        <w:t xml:space="preserve"> Account Holder will specify on the appropriate form(s) any further users to whom he/she has </w:t>
      </w:r>
      <w:r w:rsidR="00843F2A">
        <w:rPr>
          <w:rFonts w:ascii="Arial" w:hAnsi="Arial" w:cs="Arial"/>
          <w:lang w:val="en-GB"/>
        </w:rPr>
        <w:t xml:space="preserve">query rights </w:t>
      </w:r>
      <w:r w:rsidRPr="00985C09">
        <w:rPr>
          <w:rFonts w:ascii="Arial" w:hAnsi="Arial" w:cs="Arial"/>
          <w:lang w:val="en-GB"/>
        </w:rPr>
        <w:t xml:space="preserve">to his payment account through the </w:t>
      </w:r>
      <w:proofErr w:type="spellStart"/>
      <w:r w:rsidR="00892238">
        <w:rPr>
          <w:rFonts w:ascii="Arial" w:hAnsi="Arial" w:cs="Arial"/>
          <w:lang w:val="en-GB"/>
        </w:rPr>
        <w:t>eBanking</w:t>
      </w:r>
      <w:proofErr w:type="spellEnd"/>
      <w:r w:rsidRPr="00985C09">
        <w:rPr>
          <w:rFonts w:ascii="Arial" w:hAnsi="Arial" w:cs="Arial"/>
          <w:lang w:val="en-GB"/>
        </w:rPr>
        <w:t xml:space="preserve"> system under the conditions defined therein</w:t>
      </w:r>
      <w:r w:rsidR="00BA70E1">
        <w:rPr>
          <w:rFonts w:ascii="Arial" w:hAnsi="Arial" w:cs="Arial"/>
          <w:lang w:val="en-GB"/>
        </w:rPr>
        <w:t>.</w:t>
      </w:r>
    </w:p>
    <w:p w14:paraId="32B739F7" w14:textId="77777777" w:rsidR="00C454EF" w:rsidRPr="006A1297" w:rsidRDefault="00C454EF" w:rsidP="00C454EF">
      <w:pPr>
        <w:pStyle w:val="BodyText"/>
        <w:ind w:left="360"/>
        <w:jc w:val="left"/>
        <w:rPr>
          <w:rFonts w:ascii="Arial" w:hAnsi="Arial" w:cs="Arial"/>
          <w:i/>
          <w:lang w:val="en-GB"/>
        </w:rPr>
      </w:pPr>
    </w:p>
    <w:p w14:paraId="636C3522" w14:textId="18E38D3E" w:rsidR="00EC1701" w:rsidRDefault="00EC1701">
      <w:pPr>
        <w:pStyle w:val="Header"/>
        <w:numPr>
          <w:ilvl w:val="0"/>
          <w:numId w:val="12"/>
        </w:numPr>
        <w:tabs>
          <w:tab w:val="clear" w:pos="4153"/>
          <w:tab w:val="clear" w:pos="8306"/>
        </w:tabs>
        <w:rPr>
          <w:rFonts w:ascii="Arial" w:hAnsi="Arial" w:cs="Arial"/>
          <w:b/>
          <w:bCs/>
          <w:lang w:val="en-GB"/>
        </w:rPr>
      </w:pPr>
      <w:proofErr w:type="spellStart"/>
      <w:r>
        <w:rPr>
          <w:rFonts w:ascii="Arial" w:hAnsi="Arial" w:cs="Arial"/>
          <w:b/>
          <w:bCs/>
          <w:lang w:val="en-GB"/>
        </w:rPr>
        <w:t>mBanking</w:t>
      </w:r>
      <w:proofErr w:type="spellEnd"/>
    </w:p>
    <w:p w14:paraId="493F3510" w14:textId="77777777" w:rsidR="00EC1701" w:rsidRDefault="00EC1701" w:rsidP="00442101">
      <w:pPr>
        <w:pStyle w:val="Header"/>
        <w:tabs>
          <w:tab w:val="clear" w:pos="4153"/>
          <w:tab w:val="clear" w:pos="8306"/>
        </w:tabs>
        <w:rPr>
          <w:rFonts w:ascii="Arial" w:hAnsi="Arial" w:cs="Arial"/>
          <w:b/>
          <w:bCs/>
          <w:lang w:val="en-GB"/>
        </w:rPr>
      </w:pPr>
    </w:p>
    <w:p w14:paraId="6DE1F3BF" w14:textId="4B8116EF" w:rsidR="00327ED1" w:rsidRDefault="00EC1701" w:rsidP="00D83ADC">
      <w:pPr>
        <w:pStyle w:val="BodyText"/>
        <w:rPr>
          <w:rFonts w:ascii="Arial" w:hAnsi="Arial" w:cs="Arial"/>
          <w:lang w:val="en-GB"/>
        </w:rPr>
      </w:pPr>
      <w:r w:rsidRPr="00985C09">
        <w:rPr>
          <w:rFonts w:ascii="Arial" w:hAnsi="Arial" w:cs="Arial"/>
          <w:lang w:val="en-GB"/>
        </w:rPr>
        <w:t>By signing the Agreement</w:t>
      </w:r>
      <w:r w:rsidR="001A206D">
        <w:rPr>
          <w:rFonts w:ascii="Arial" w:hAnsi="Arial" w:cs="Arial"/>
          <w:lang w:val="en-GB"/>
        </w:rPr>
        <w:t>,</w:t>
      </w:r>
      <w:r w:rsidRPr="00985C09">
        <w:rPr>
          <w:rFonts w:ascii="Arial" w:hAnsi="Arial" w:cs="Arial"/>
          <w:lang w:val="en-GB"/>
        </w:rPr>
        <w:t xml:space="preserve"> the Account Holder declares that he/she </w:t>
      </w:r>
      <w:r>
        <w:rPr>
          <w:rFonts w:ascii="Arial" w:hAnsi="Arial" w:cs="Arial"/>
          <w:lang w:val="en-GB"/>
        </w:rPr>
        <w:t xml:space="preserve">provides for the use of the </w:t>
      </w:r>
      <w:proofErr w:type="spellStart"/>
      <w:r w:rsidR="0013558C">
        <w:rPr>
          <w:rFonts w:ascii="Arial" w:hAnsi="Arial" w:cs="Arial"/>
          <w:lang w:val="en-GB"/>
        </w:rPr>
        <w:t>m</w:t>
      </w:r>
      <w:r>
        <w:rPr>
          <w:rFonts w:ascii="Arial" w:hAnsi="Arial" w:cs="Arial"/>
          <w:lang w:val="en-GB"/>
        </w:rPr>
        <w:t>Banking</w:t>
      </w:r>
      <w:proofErr w:type="spellEnd"/>
      <w:r>
        <w:rPr>
          <w:rFonts w:ascii="Arial" w:hAnsi="Arial" w:cs="Arial"/>
          <w:lang w:val="en-GB"/>
        </w:rPr>
        <w:t xml:space="preserve"> service in connection with the </w:t>
      </w:r>
      <w:r w:rsidR="00570D97">
        <w:rPr>
          <w:rFonts w:ascii="Arial" w:hAnsi="Arial" w:cs="Arial"/>
          <w:lang w:val="en-GB"/>
        </w:rPr>
        <w:t>Pension</w:t>
      </w:r>
      <w:r>
        <w:rPr>
          <w:rFonts w:ascii="Arial" w:hAnsi="Arial" w:cs="Arial"/>
          <w:lang w:val="en-GB"/>
        </w:rPr>
        <w:t xml:space="preserve"> Savings Account and, specifically, by signing </w:t>
      </w:r>
      <w:r w:rsidRPr="00442101">
        <w:rPr>
          <w:rFonts w:ascii="Arial" w:hAnsi="Arial" w:cs="Arial"/>
          <w:bCs/>
          <w:lang w:val="en-GB"/>
        </w:rPr>
        <w:t>the</w:t>
      </w:r>
      <w:r w:rsidRPr="00442101">
        <w:rPr>
          <w:rFonts w:ascii="Arial" w:hAnsi="Arial" w:cs="Arial"/>
          <w:b/>
          <w:lang w:val="en-GB"/>
        </w:rPr>
        <w:t xml:space="preserve"> </w:t>
      </w:r>
      <w:r w:rsidR="00422361" w:rsidRPr="00442101">
        <w:rPr>
          <w:rFonts w:ascii="Arial" w:hAnsi="Arial" w:cs="Arial"/>
          <w:b/>
          <w:lang w:val="en-GB"/>
        </w:rPr>
        <w:t xml:space="preserve">User data sheet </w:t>
      </w:r>
      <w:r w:rsidRPr="00950D21">
        <w:rPr>
          <w:rFonts w:ascii="Arial" w:hAnsi="Arial" w:cs="Arial"/>
          <w:b/>
          <w:lang w:val="en-GB"/>
        </w:rPr>
        <w:t xml:space="preserve">for the use of </w:t>
      </w:r>
      <w:proofErr w:type="spellStart"/>
      <w:r w:rsidR="0013558C">
        <w:rPr>
          <w:rFonts w:ascii="Arial" w:hAnsi="Arial" w:cs="Arial"/>
          <w:b/>
          <w:lang w:val="en-GB"/>
        </w:rPr>
        <w:t>m</w:t>
      </w:r>
      <w:r w:rsidRPr="00950D21">
        <w:rPr>
          <w:rFonts w:ascii="Arial" w:hAnsi="Arial" w:cs="Arial"/>
          <w:b/>
          <w:lang w:val="en-GB"/>
        </w:rPr>
        <w:t>Banking</w:t>
      </w:r>
      <w:proofErr w:type="spellEnd"/>
      <w:r w:rsidRPr="00950D21">
        <w:rPr>
          <w:rFonts w:ascii="Arial" w:hAnsi="Arial" w:cs="Arial"/>
          <w:b/>
          <w:lang w:val="en-GB"/>
        </w:rPr>
        <w:t xml:space="preserve"> </w:t>
      </w:r>
      <w:r w:rsidR="00422361">
        <w:rPr>
          <w:rFonts w:ascii="Arial" w:hAnsi="Arial" w:cs="Arial"/>
          <w:b/>
          <w:lang w:val="en-GB"/>
        </w:rPr>
        <w:t>s</w:t>
      </w:r>
      <w:r w:rsidRPr="00950D21">
        <w:rPr>
          <w:rFonts w:ascii="Arial" w:hAnsi="Arial" w:cs="Arial"/>
          <w:b/>
          <w:lang w:val="en-GB"/>
        </w:rPr>
        <w:t>ervice</w:t>
      </w:r>
      <w:r>
        <w:rPr>
          <w:rFonts w:ascii="Arial" w:hAnsi="Arial" w:cs="Arial"/>
          <w:b/>
          <w:lang w:val="en-GB"/>
        </w:rPr>
        <w:t>.</w:t>
      </w:r>
      <w:r w:rsidRPr="00950D21">
        <w:rPr>
          <w:rFonts w:ascii="Arial" w:hAnsi="Arial" w:cs="Arial"/>
          <w:lang w:val="en-GB"/>
        </w:rPr>
        <w:t xml:space="preserve"> </w:t>
      </w:r>
    </w:p>
    <w:p w14:paraId="074127EC" w14:textId="77777777" w:rsidR="00327ED1" w:rsidRDefault="00327ED1" w:rsidP="00EC1701">
      <w:pPr>
        <w:pStyle w:val="BodyText"/>
        <w:ind w:left="360"/>
        <w:rPr>
          <w:rFonts w:ascii="Arial" w:hAnsi="Arial" w:cs="Arial"/>
          <w:lang w:val="en-GB"/>
        </w:rPr>
      </w:pPr>
    </w:p>
    <w:p w14:paraId="787748CB" w14:textId="4D012F18" w:rsidR="004A075F" w:rsidRDefault="004A075F" w:rsidP="00D83ADC">
      <w:pPr>
        <w:pStyle w:val="BodyText"/>
        <w:rPr>
          <w:rFonts w:ascii="Arial" w:hAnsi="Arial" w:cs="Arial"/>
          <w:lang w:val="en-GB"/>
        </w:rPr>
      </w:pPr>
      <w:r>
        <w:rPr>
          <w:rFonts w:ascii="Arial" w:hAnsi="Arial" w:cs="Arial"/>
          <w:lang w:val="en-GB"/>
        </w:rPr>
        <w:t xml:space="preserve">The </w:t>
      </w:r>
      <w:proofErr w:type="spellStart"/>
      <w:r>
        <w:rPr>
          <w:rFonts w:ascii="Arial" w:hAnsi="Arial" w:cs="Arial"/>
          <w:lang w:val="en-GB"/>
        </w:rPr>
        <w:t>mBanking</w:t>
      </w:r>
      <w:proofErr w:type="spellEnd"/>
      <w:r>
        <w:rPr>
          <w:rFonts w:ascii="Arial" w:hAnsi="Arial" w:cs="Arial"/>
          <w:lang w:val="en-GB"/>
        </w:rPr>
        <w:t xml:space="preserve"> </w:t>
      </w:r>
      <w:r w:rsidR="00422361">
        <w:rPr>
          <w:rFonts w:ascii="Arial" w:hAnsi="Arial" w:cs="Arial"/>
          <w:lang w:val="en-GB"/>
        </w:rPr>
        <w:t>s</w:t>
      </w:r>
      <w:r>
        <w:rPr>
          <w:rFonts w:ascii="Arial" w:hAnsi="Arial" w:cs="Arial"/>
          <w:lang w:val="en-GB"/>
        </w:rPr>
        <w:t xml:space="preserve">ervice cannot be used to submit securities orders debiting the </w:t>
      </w:r>
      <w:r w:rsidR="00570D97">
        <w:rPr>
          <w:rFonts w:ascii="Arial" w:hAnsi="Arial" w:cs="Arial"/>
          <w:lang w:val="en-GB"/>
        </w:rPr>
        <w:t>Pension</w:t>
      </w:r>
      <w:r>
        <w:rPr>
          <w:rFonts w:ascii="Arial" w:hAnsi="Arial" w:cs="Arial"/>
          <w:lang w:val="en-GB"/>
        </w:rPr>
        <w:t xml:space="preserve"> Savings Account marked I. (1</w:t>
      </w:r>
      <w:proofErr w:type="gramStart"/>
      <w:r>
        <w:rPr>
          <w:rFonts w:ascii="Arial" w:hAnsi="Arial" w:cs="Arial"/>
          <w:lang w:val="en-GB"/>
        </w:rPr>
        <w:t>)</w:t>
      </w:r>
      <w:r w:rsidR="007418AF">
        <w:rPr>
          <w:rFonts w:ascii="Arial" w:hAnsi="Arial" w:cs="Arial"/>
          <w:lang w:val="en-GB"/>
        </w:rPr>
        <w:t>,</w:t>
      </w:r>
      <w:r w:rsidR="001A206D">
        <w:rPr>
          <w:rFonts w:ascii="Arial" w:hAnsi="Arial" w:cs="Arial"/>
          <w:lang w:val="en-GB"/>
        </w:rPr>
        <w:t xml:space="preserve"> </w:t>
      </w:r>
      <w:r>
        <w:rPr>
          <w:rFonts w:ascii="Arial" w:hAnsi="Arial" w:cs="Arial"/>
          <w:lang w:val="en-GB"/>
        </w:rPr>
        <w:t>but</w:t>
      </w:r>
      <w:proofErr w:type="gramEnd"/>
      <w:r>
        <w:rPr>
          <w:rFonts w:ascii="Arial" w:hAnsi="Arial" w:cs="Arial"/>
          <w:lang w:val="en-GB"/>
        </w:rPr>
        <w:t xml:space="preserve"> can be used for </w:t>
      </w:r>
      <w:r w:rsidR="00570D97">
        <w:rPr>
          <w:rFonts w:ascii="Arial" w:hAnsi="Arial" w:cs="Arial"/>
          <w:lang w:val="en-GB"/>
        </w:rPr>
        <w:t>Pension</w:t>
      </w:r>
      <w:r>
        <w:rPr>
          <w:rFonts w:ascii="Arial" w:hAnsi="Arial" w:cs="Arial"/>
          <w:lang w:val="en-GB"/>
        </w:rPr>
        <w:t xml:space="preserve"> Savings Account marked I. (2).</w:t>
      </w:r>
    </w:p>
    <w:p w14:paraId="13309766" w14:textId="77777777" w:rsidR="004A075F" w:rsidRDefault="004A075F" w:rsidP="00EC1701">
      <w:pPr>
        <w:pStyle w:val="BodyText"/>
        <w:ind w:left="360"/>
        <w:rPr>
          <w:rFonts w:ascii="Arial" w:hAnsi="Arial" w:cs="Arial"/>
          <w:lang w:val="en-GB"/>
        </w:rPr>
      </w:pPr>
    </w:p>
    <w:p w14:paraId="12610513" w14:textId="3ADCCC16" w:rsidR="00EC1701" w:rsidRDefault="00A7156E" w:rsidP="00D83ADC">
      <w:pPr>
        <w:pStyle w:val="BodyText"/>
        <w:rPr>
          <w:rFonts w:ascii="Arial" w:hAnsi="Arial" w:cs="Arial"/>
          <w:i/>
          <w:lang w:val="en-GB"/>
        </w:rPr>
      </w:pPr>
      <w:r w:rsidRPr="00A7156E">
        <w:rPr>
          <w:rFonts w:ascii="Arial" w:hAnsi="Arial" w:cs="Arial"/>
          <w:lang w:val="en-GB"/>
        </w:rPr>
        <w:lastRenderedPageBreak/>
        <w:t xml:space="preserve">The Bank publishes on the Bank’s website the detailed information pertaining to the securities orders available in the </w:t>
      </w:r>
      <w:proofErr w:type="spellStart"/>
      <w:r w:rsidRPr="00A7156E">
        <w:rPr>
          <w:rFonts w:ascii="Arial" w:hAnsi="Arial" w:cs="Arial"/>
          <w:lang w:val="en-GB"/>
        </w:rPr>
        <w:t>mBanking</w:t>
      </w:r>
      <w:proofErr w:type="spellEnd"/>
      <w:r w:rsidRPr="00A7156E">
        <w:rPr>
          <w:rFonts w:ascii="Arial" w:hAnsi="Arial" w:cs="Arial"/>
          <w:lang w:val="en-GB"/>
        </w:rPr>
        <w:t xml:space="preserve"> Investment module, on the </w:t>
      </w:r>
      <w:proofErr w:type="spellStart"/>
      <w:r w:rsidRPr="00A7156E">
        <w:rPr>
          <w:rFonts w:ascii="Arial" w:hAnsi="Arial" w:cs="Arial"/>
          <w:lang w:val="en-GB"/>
        </w:rPr>
        <w:t>mBanking</w:t>
      </w:r>
      <w:proofErr w:type="spellEnd"/>
      <w:r w:rsidRPr="00A7156E">
        <w:rPr>
          <w:rFonts w:ascii="Arial" w:hAnsi="Arial" w:cs="Arial"/>
          <w:lang w:val="en-GB"/>
        </w:rPr>
        <w:t xml:space="preserve"> page entitled </w:t>
      </w:r>
      <w:r w:rsidRPr="00442101">
        <w:rPr>
          <w:rFonts w:ascii="Arial" w:hAnsi="Arial" w:cs="Arial"/>
          <w:b/>
          <w:lang w:val="en-GB"/>
        </w:rPr>
        <w:t>“</w:t>
      </w:r>
      <w:r w:rsidR="007418AF">
        <w:rPr>
          <w:rFonts w:ascii="Arial" w:hAnsi="Arial" w:cs="Arial"/>
          <w:b/>
          <w:lang w:val="en-GB"/>
        </w:rPr>
        <w:t xml:space="preserve">User manual </w:t>
      </w:r>
      <w:r w:rsidRPr="00442101">
        <w:rPr>
          <w:rFonts w:ascii="Arial" w:hAnsi="Arial" w:cs="Arial"/>
          <w:b/>
          <w:lang w:val="en-GB"/>
        </w:rPr>
        <w:t>for the Investment Function”</w:t>
      </w:r>
      <w:r>
        <w:rPr>
          <w:rFonts w:ascii="Arial" w:hAnsi="Arial" w:cs="Arial"/>
          <w:lang w:val="en-GB"/>
        </w:rPr>
        <w:t xml:space="preserve"> </w:t>
      </w:r>
      <w:r w:rsidR="00D36EBA">
        <w:rPr>
          <w:rFonts w:ascii="Arial" w:hAnsi="Arial" w:cs="Arial"/>
          <w:lang w:val="en-GB"/>
        </w:rPr>
        <w:t>(hereinafter: Use</w:t>
      </w:r>
      <w:r w:rsidR="009775DB">
        <w:rPr>
          <w:rFonts w:ascii="Arial" w:hAnsi="Arial" w:cs="Arial"/>
          <w:lang w:val="en-GB"/>
        </w:rPr>
        <w:t>r manual</w:t>
      </w:r>
      <w:r w:rsidR="00D36EBA">
        <w:rPr>
          <w:rFonts w:ascii="Arial" w:hAnsi="Arial" w:cs="Arial"/>
          <w:lang w:val="en-GB"/>
        </w:rPr>
        <w:t>). Of the limitations in the Use</w:t>
      </w:r>
      <w:r w:rsidR="009775DB">
        <w:rPr>
          <w:rFonts w:ascii="Arial" w:hAnsi="Arial" w:cs="Arial"/>
          <w:lang w:val="en-GB"/>
        </w:rPr>
        <w:t>r manual</w:t>
      </w:r>
      <w:r w:rsidR="00D36EBA">
        <w:rPr>
          <w:rFonts w:ascii="Arial" w:hAnsi="Arial" w:cs="Arial"/>
          <w:lang w:val="en-GB"/>
        </w:rPr>
        <w:t xml:space="preserve"> and the financial instruments listed in Annex 1 to the </w:t>
      </w:r>
      <w:r w:rsidR="009775DB">
        <w:rPr>
          <w:rFonts w:ascii="Arial" w:hAnsi="Arial" w:cs="Arial"/>
          <w:lang w:val="en-GB"/>
        </w:rPr>
        <w:t>P</w:t>
      </w:r>
      <w:r w:rsidR="00D36EBA">
        <w:rPr>
          <w:rFonts w:ascii="Arial" w:hAnsi="Arial" w:cs="Arial"/>
          <w:lang w:val="en-GB"/>
        </w:rPr>
        <w:t xml:space="preserve">SA Agreement, the Bank shall always provide the financial instrument in its narrower sense by way of the </w:t>
      </w:r>
      <w:proofErr w:type="spellStart"/>
      <w:r w:rsidR="00D36EBA">
        <w:rPr>
          <w:rFonts w:ascii="Arial" w:hAnsi="Arial" w:cs="Arial"/>
          <w:lang w:val="en-GB"/>
        </w:rPr>
        <w:t>mBanking</w:t>
      </w:r>
      <w:proofErr w:type="spellEnd"/>
      <w:r w:rsidR="00D36EBA">
        <w:rPr>
          <w:rFonts w:ascii="Arial" w:hAnsi="Arial" w:cs="Arial"/>
          <w:lang w:val="en-GB"/>
        </w:rPr>
        <w:t xml:space="preserve"> service.</w:t>
      </w:r>
    </w:p>
    <w:p w14:paraId="743E58A0" w14:textId="77777777" w:rsidR="00EC1701" w:rsidRDefault="00EC1701" w:rsidP="00442101">
      <w:pPr>
        <w:pStyle w:val="Header"/>
        <w:tabs>
          <w:tab w:val="clear" w:pos="4153"/>
          <w:tab w:val="clear" w:pos="8306"/>
        </w:tabs>
        <w:rPr>
          <w:rFonts w:ascii="Arial" w:hAnsi="Arial" w:cs="Arial"/>
          <w:b/>
          <w:bCs/>
          <w:lang w:val="en-GB"/>
        </w:rPr>
      </w:pPr>
    </w:p>
    <w:p w14:paraId="3A37921F" w14:textId="77777777"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Charges and fees</w:t>
      </w:r>
    </w:p>
    <w:p w14:paraId="00ED7D7E" w14:textId="77777777" w:rsidR="00A952B4" w:rsidRPr="006A1297" w:rsidRDefault="00A952B4">
      <w:pPr>
        <w:pStyle w:val="Header"/>
        <w:tabs>
          <w:tab w:val="clear" w:pos="4153"/>
          <w:tab w:val="clear" w:pos="8306"/>
        </w:tabs>
        <w:rPr>
          <w:rFonts w:ascii="Arial" w:hAnsi="Arial" w:cs="Arial"/>
          <w:b/>
          <w:bCs/>
          <w:lang w:val="en-GB"/>
        </w:rPr>
      </w:pPr>
    </w:p>
    <w:p w14:paraId="31F3F02A" w14:textId="438E38FD"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understands that for keeping the </w:t>
      </w:r>
      <w:r w:rsidR="00570D97">
        <w:rPr>
          <w:rFonts w:ascii="Arial" w:hAnsi="Arial" w:cs="Arial"/>
          <w:lang w:val="en-GB"/>
        </w:rPr>
        <w:t>Pension</w:t>
      </w:r>
      <w:r w:rsidRPr="006A1297">
        <w:rPr>
          <w:rFonts w:ascii="Arial" w:hAnsi="Arial" w:cs="Arial"/>
          <w:lang w:val="en-GB"/>
        </w:rPr>
        <w:t xml:space="preserve"> Savings Accounts the Bank shall charge a fee specified in its currently effective List of Conditions. </w:t>
      </w:r>
    </w:p>
    <w:p w14:paraId="7651473C" w14:textId="77777777" w:rsidR="00A952B4" w:rsidRPr="006A1297" w:rsidRDefault="00A952B4">
      <w:pPr>
        <w:pStyle w:val="BodyText"/>
        <w:rPr>
          <w:rFonts w:ascii="Arial" w:hAnsi="Arial" w:cs="Arial"/>
          <w:i/>
          <w:lang w:val="en-GB"/>
        </w:rPr>
      </w:pPr>
      <w:r w:rsidRPr="006A1297">
        <w:rPr>
          <w:rFonts w:ascii="Arial" w:hAnsi="Arial" w:cs="Arial"/>
          <w:lang w:val="en-GB"/>
        </w:rPr>
        <w:tab/>
      </w:r>
    </w:p>
    <w:p w14:paraId="2726B52F" w14:textId="550A7C3C"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Furthermore the Client understands that the orders submitted on the charges of the given </w:t>
      </w:r>
      <w:r w:rsidR="00570D97">
        <w:rPr>
          <w:rFonts w:ascii="Arial" w:hAnsi="Arial" w:cs="Arial"/>
          <w:lang w:val="en-GB"/>
        </w:rPr>
        <w:t>Pension</w:t>
      </w:r>
      <w:r w:rsidRPr="006A1297">
        <w:rPr>
          <w:rFonts w:ascii="Arial" w:hAnsi="Arial" w:cs="Arial"/>
          <w:lang w:val="en-GB"/>
        </w:rPr>
        <w:t xml:space="preserve"> Savings Account </w:t>
      </w:r>
      <w:r w:rsidR="003975D3">
        <w:rPr>
          <w:rFonts w:ascii="Arial" w:hAnsi="Arial" w:cs="Arial"/>
          <w:lang w:val="en-GB"/>
        </w:rPr>
        <w:t>[</w:t>
      </w:r>
      <w:r w:rsidRPr="006A1297">
        <w:rPr>
          <w:rFonts w:ascii="Arial" w:hAnsi="Arial" w:cs="Arial"/>
          <w:lang w:val="en-GB"/>
        </w:rPr>
        <w:t xml:space="preserve">i.e. marked with </w:t>
      </w:r>
      <w:r w:rsidR="00514C4B">
        <w:rPr>
          <w:rFonts w:ascii="Arial" w:hAnsi="Arial" w:cs="Arial"/>
          <w:lang w:val="en-GB"/>
        </w:rPr>
        <w:t xml:space="preserve">I. </w:t>
      </w:r>
      <w:r w:rsidRPr="006A1297">
        <w:rPr>
          <w:rFonts w:ascii="Arial" w:hAnsi="Arial" w:cs="Arial"/>
          <w:lang w:val="en-GB"/>
        </w:rPr>
        <w:t>(1)</w:t>
      </w:r>
      <w:r w:rsidR="003975D3">
        <w:rPr>
          <w:rFonts w:ascii="Arial" w:hAnsi="Arial" w:cs="Arial"/>
          <w:lang w:val="en-GB"/>
        </w:rPr>
        <w:t>]</w:t>
      </w:r>
      <w:r w:rsidRPr="006A1297">
        <w:rPr>
          <w:rFonts w:ascii="Arial" w:hAnsi="Arial" w:cs="Arial"/>
          <w:lang w:val="en-GB"/>
        </w:rPr>
        <w:t xml:space="preserve"> following any payments or transfers made by Client to the </w:t>
      </w:r>
      <w:r w:rsidR="00570D97">
        <w:rPr>
          <w:rFonts w:ascii="Arial" w:hAnsi="Arial" w:cs="Arial"/>
          <w:lang w:val="en-GB"/>
        </w:rPr>
        <w:t>Pension</w:t>
      </w:r>
      <w:r w:rsidRPr="006A1297">
        <w:rPr>
          <w:rFonts w:ascii="Arial" w:hAnsi="Arial" w:cs="Arial"/>
          <w:lang w:val="en-GB"/>
        </w:rPr>
        <w:t xml:space="preserve"> Savings Account marked with </w:t>
      </w:r>
      <w:r w:rsidR="00514C4B">
        <w:rPr>
          <w:rFonts w:ascii="Arial" w:hAnsi="Arial" w:cs="Arial"/>
          <w:lang w:val="en-GB"/>
        </w:rPr>
        <w:t xml:space="preserve">I. </w:t>
      </w:r>
      <w:r w:rsidRPr="006A1297">
        <w:rPr>
          <w:rFonts w:ascii="Arial" w:hAnsi="Arial" w:cs="Arial"/>
          <w:lang w:val="en-GB"/>
        </w:rPr>
        <w:t xml:space="preserve">(1) according to Section </w:t>
      </w:r>
      <w:proofErr w:type="spellStart"/>
      <w:r w:rsidR="00514C4B">
        <w:rPr>
          <w:rFonts w:ascii="Arial" w:hAnsi="Arial" w:cs="Arial"/>
          <w:lang w:val="en-GB"/>
        </w:rPr>
        <w:t>I</w:t>
      </w:r>
      <w:r w:rsidRPr="006A1297">
        <w:rPr>
          <w:rFonts w:ascii="Arial" w:hAnsi="Arial" w:cs="Arial"/>
          <w:lang w:val="en-GB"/>
        </w:rPr>
        <w:t>.a</w:t>
      </w:r>
      <w:proofErr w:type="spellEnd"/>
      <w:r w:rsidRPr="006A1297">
        <w:rPr>
          <w:rFonts w:ascii="Arial" w:hAnsi="Arial" w:cs="Arial"/>
          <w:lang w:val="en-GB"/>
        </w:rPr>
        <w:t xml:space="preserve">), amounting to the total amount of payment or transfer - but at the most to the amount of account balance -, in order to purchase the instruments specified in Annex 1, are free of any charges. </w:t>
      </w:r>
    </w:p>
    <w:p w14:paraId="130188FE" w14:textId="77777777" w:rsidR="00A952B4" w:rsidRPr="006A1297" w:rsidRDefault="00A952B4">
      <w:pPr>
        <w:pStyle w:val="BodyText"/>
        <w:rPr>
          <w:rFonts w:ascii="Arial" w:hAnsi="Arial" w:cs="Arial"/>
          <w:i/>
          <w:lang w:val="en-GB"/>
        </w:rPr>
      </w:pPr>
      <w:r w:rsidRPr="006A1297">
        <w:rPr>
          <w:rFonts w:ascii="Arial" w:hAnsi="Arial" w:cs="Arial"/>
          <w:lang w:val="en-GB"/>
        </w:rPr>
        <w:tab/>
      </w:r>
    </w:p>
    <w:p w14:paraId="3CF1459A" w14:textId="41789478"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In </w:t>
      </w:r>
      <w:r w:rsidR="00C454EF" w:rsidRPr="00C454EF">
        <w:rPr>
          <w:rFonts w:ascii="Arial" w:hAnsi="Arial" w:cs="Arial"/>
          <w:lang w:val="en-GB"/>
        </w:rPr>
        <w:t xml:space="preserve">cases not provided for herein the Client shall pay the fees and charges specified in the Bank’s currently effective List of Conditions concerning the administering of the </w:t>
      </w:r>
      <w:r w:rsidR="00570D97">
        <w:rPr>
          <w:rFonts w:ascii="Arial" w:hAnsi="Arial" w:cs="Arial"/>
          <w:lang w:val="en-GB"/>
        </w:rPr>
        <w:t>Pension</w:t>
      </w:r>
      <w:r w:rsidR="00C454EF" w:rsidRPr="00C454EF">
        <w:rPr>
          <w:rFonts w:ascii="Arial" w:hAnsi="Arial" w:cs="Arial"/>
          <w:lang w:val="en-GB"/>
        </w:rPr>
        <w:t xml:space="preserve"> Savings Accounts. The Client declares that it has been informed of such fees and charges by the Bank.</w:t>
      </w:r>
    </w:p>
    <w:p w14:paraId="0F07E9CF" w14:textId="77777777" w:rsidR="00A952B4" w:rsidRPr="006A1297" w:rsidRDefault="00A952B4">
      <w:pPr>
        <w:pStyle w:val="BodyText"/>
        <w:rPr>
          <w:rFonts w:ascii="Arial" w:hAnsi="Arial" w:cs="Arial"/>
          <w:i/>
          <w:lang w:val="en-GB"/>
        </w:rPr>
      </w:pPr>
      <w:r w:rsidRPr="006A1297">
        <w:rPr>
          <w:rFonts w:ascii="Arial" w:hAnsi="Arial" w:cs="Arial"/>
          <w:lang w:val="en-GB"/>
        </w:rPr>
        <w:tab/>
      </w:r>
    </w:p>
    <w:p w14:paraId="3DA15AE7" w14:textId="62467379" w:rsidR="00A952B4" w:rsidRPr="006A1297" w:rsidRDefault="00A952B4">
      <w:pPr>
        <w:pStyle w:val="Header"/>
        <w:numPr>
          <w:ilvl w:val="1"/>
          <w:numId w:val="12"/>
        </w:numPr>
        <w:tabs>
          <w:tab w:val="clear" w:pos="4153"/>
          <w:tab w:val="clear" w:pos="8306"/>
        </w:tabs>
        <w:rPr>
          <w:rFonts w:ascii="Arial" w:hAnsi="Arial" w:cs="Arial"/>
          <w:iCs/>
          <w:color w:val="000000"/>
          <w:lang w:val="en-GB"/>
        </w:rPr>
      </w:pPr>
      <w:r w:rsidRPr="006A1297">
        <w:rPr>
          <w:rFonts w:ascii="Arial" w:hAnsi="Arial" w:cs="Arial"/>
          <w:lang w:val="en-GB"/>
        </w:rPr>
        <w:t xml:space="preserve">The </w:t>
      </w:r>
      <w:r w:rsidR="00C454EF" w:rsidRPr="00C454EF">
        <w:rPr>
          <w:rFonts w:ascii="Arial" w:hAnsi="Arial" w:cs="Arial"/>
          <w:lang w:val="en-GB"/>
        </w:rPr>
        <w:t xml:space="preserve">Client undertakes to assure on due date coverage for the payment of fee(s) on the </w:t>
      </w:r>
      <w:r w:rsidR="00570D97">
        <w:rPr>
          <w:rFonts w:ascii="Arial" w:hAnsi="Arial" w:cs="Arial"/>
          <w:lang w:val="en-GB"/>
        </w:rPr>
        <w:t>Pension</w:t>
      </w:r>
      <w:r w:rsidR="00C454EF" w:rsidRPr="00C454EF">
        <w:rPr>
          <w:rFonts w:ascii="Arial" w:hAnsi="Arial" w:cs="Arial"/>
          <w:lang w:val="en-GB"/>
        </w:rPr>
        <w:t xml:space="preserve"> Savings Accounts. Parties agree that the Bank shall be entitled to charge the fees and other charges due to the Bank for administering the </w:t>
      </w:r>
      <w:r w:rsidR="00570D97">
        <w:rPr>
          <w:rFonts w:ascii="Arial" w:hAnsi="Arial" w:cs="Arial"/>
          <w:lang w:val="en-GB"/>
        </w:rPr>
        <w:t>Pension</w:t>
      </w:r>
      <w:r w:rsidR="00C454EF" w:rsidRPr="00C454EF">
        <w:rPr>
          <w:rFonts w:ascii="Arial" w:hAnsi="Arial" w:cs="Arial"/>
          <w:lang w:val="en-GB"/>
        </w:rPr>
        <w:t xml:space="preserve"> Savings Accounts primarily to the </w:t>
      </w:r>
      <w:r w:rsidR="00570D97">
        <w:rPr>
          <w:rFonts w:ascii="Arial" w:hAnsi="Arial" w:cs="Arial"/>
          <w:lang w:val="en-GB"/>
        </w:rPr>
        <w:t>Pension</w:t>
      </w:r>
      <w:r w:rsidR="00C454EF" w:rsidRPr="00C454EF">
        <w:rPr>
          <w:rFonts w:ascii="Arial" w:hAnsi="Arial" w:cs="Arial"/>
          <w:lang w:val="en-GB"/>
        </w:rPr>
        <w:t xml:space="preserve"> Savings Account marked with </w:t>
      </w:r>
      <w:r w:rsidR="00514C4B">
        <w:rPr>
          <w:rFonts w:ascii="Arial" w:hAnsi="Arial" w:cs="Arial"/>
          <w:lang w:val="en-GB"/>
        </w:rPr>
        <w:t xml:space="preserve">I. </w:t>
      </w:r>
      <w:r w:rsidR="00C454EF" w:rsidRPr="00C454EF">
        <w:rPr>
          <w:rFonts w:ascii="Arial" w:hAnsi="Arial" w:cs="Arial"/>
          <w:lang w:val="en-GB"/>
        </w:rPr>
        <w:t xml:space="preserve">(2) and secondary to the </w:t>
      </w:r>
      <w:r w:rsidR="00570D97">
        <w:rPr>
          <w:rFonts w:ascii="Arial" w:hAnsi="Arial" w:cs="Arial"/>
          <w:lang w:val="en-GB"/>
        </w:rPr>
        <w:t>Pension</w:t>
      </w:r>
      <w:r w:rsidR="00C454EF" w:rsidRPr="00C454EF">
        <w:rPr>
          <w:rFonts w:ascii="Arial" w:hAnsi="Arial" w:cs="Arial"/>
          <w:lang w:val="en-GB"/>
        </w:rPr>
        <w:t xml:space="preserve"> Savings Account marked with </w:t>
      </w:r>
      <w:r w:rsidR="00514C4B">
        <w:rPr>
          <w:rFonts w:ascii="Arial" w:hAnsi="Arial" w:cs="Arial"/>
          <w:lang w:val="en-GB"/>
        </w:rPr>
        <w:t xml:space="preserve">I. </w:t>
      </w:r>
      <w:r w:rsidR="00C454EF" w:rsidRPr="00C454EF">
        <w:rPr>
          <w:rFonts w:ascii="Arial" w:hAnsi="Arial" w:cs="Arial"/>
          <w:lang w:val="en-GB"/>
        </w:rPr>
        <w:t xml:space="preserve">(1), and any of the Client’s payment account kept with the Bank, </w:t>
      </w:r>
      <w:r w:rsidRPr="006A1297">
        <w:rPr>
          <w:rFonts w:ascii="Arial" w:hAnsi="Arial" w:cs="Arial"/>
          <w:lang w:val="en-GB"/>
        </w:rPr>
        <w:t>respectively.</w:t>
      </w:r>
    </w:p>
    <w:p w14:paraId="72292C4D" w14:textId="77777777" w:rsidR="00A952B4" w:rsidRPr="006A1297" w:rsidRDefault="00A952B4">
      <w:pPr>
        <w:pStyle w:val="Header"/>
        <w:tabs>
          <w:tab w:val="clear" w:pos="4153"/>
          <w:tab w:val="clear" w:pos="8306"/>
        </w:tabs>
        <w:rPr>
          <w:rFonts w:ascii="Arial" w:hAnsi="Arial" w:cs="Arial"/>
          <w:lang w:val="en-GB"/>
        </w:rPr>
      </w:pPr>
    </w:p>
    <w:p w14:paraId="309584C1" w14:textId="77777777"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The Client acknowledges that in the case that he/she fails to meet on the due date any of his/her payment obligations arising from this Agreement, the Bank shall be entitled to charge as of the due date until the day of performance a default interest specified in the List of Conditions effective at the time of default.</w:t>
      </w:r>
    </w:p>
    <w:p w14:paraId="7312A079" w14:textId="77777777" w:rsidR="00A952B4" w:rsidRPr="006A1297" w:rsidRDefault="00A952B4">
      <w:pPr>
        <w:pStyle w:val="Header"/>
        <w:tabs>
          <w:tab w:val="clear" w:pos="4153"/>
          <w:tab w:val="clear" w:pos="8306"/>
        </w:tabs>
        <w:rPr>
          <w:rFonts w:ascii="Arial" w:hAnsi="Arial" w:cs="Arial"/>
          <w:b/>
          <w:bCs/>
          <w:lang w:val="en-GB"/>
        </w:rPr>
      </w:pPr>
    </w:p>
    <w:p w14:paraId="2CA34349" w14:textId="43C8DAB3"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 xml:space="preserve">Termination of the </w:t>
      </w:r>
      <w:r w:rsidR="00570D97">
        <w:rPr>
          <w:rFonts w:ascii="Arial" w:hAnsi="Arial" w:cs="Arial"/>
          <w:b/>
          <w:bCs/>
          <w:lang w:val="en-GB"/>
        </w:rPr>
        <w:t>Pension</w:t>
      </w:r>
      <w:r w:rsidRPr="006A1297">
        <w:rPr>
          <w:rFonts w:ascii="Arial" w:hAnsi="Arial" w:cs="Arial"/>
          <w:b/>
          <w:bCs/>
          <w:lang w:val="en-GB"/>
        </w:rPr>
        <w:t xml:space="preserve"> Savings Accounts</w:t>
      </w:r>
    </w:p>
    <w:p w14:paraId="0E590EC8" w14:textId="77777777" w:rsidR="00A952B4" w:rsidRPr="006A1297" w:rsidRDefault="00A952B4">
      <w:pPr>
        <w:pStyle w:val="Header"/>
        <w:tabs>
          <w:tab w:val="clear" w:pos="4153"/>
          <w:tab w:val="clear" w:pos="8306"/>
        </w:tabs>
        <w:rPr>
          <w:rFonts w:ascii="Arial" w:hAnsi="Arial" w:cs="Arial"/>
          <w:b/>
          <w:bCs/>
          <w:lang w:val="en-GB"/>
        </w:rPr>
      </w:pPr>
    </w:p>
    <w:p w14:paraId="0998B82C" w14:textId="0B7AD488"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This Agreement may be cancelled by either Party exclusively in writing. The depletion of the </w:t>
      </w:r>
      <w:r w:rsidR="00570D97">
        <w:rPr>
          <w:rFonts w:ascii="Arial" w:hAnsi="Arial" w:cs="Arial"/>
          <w:lang w:val="en-GB"/>
        </w:rPr>
        <w:t>Pension</w:t>
      </w:r>
      <w:r w:rsidRPr="006A1297">
        <w:rPr>
          <w:rFonts w:ascii="Arial" w:hAnsi="Arial" w:cs="Arial"/>
          <w:lang w:val="en-GB"/>
        </w:rPr>
        <w:t xml:space="preserve"> Savings Accounts or any of them shall not mean the termination of this Agreement.</w:t>
      </w:r>
    </w:p>
    <w:p w14:paraId="42DE1539" w14:textId="77777777" w:rsidR="00A952B4" w:rsidRPr="006A1297" w:rsidRDefault="00A952B4">
      <w:pPr>
        <w:pStyle w:val="Header"/>
        <w:tabs>
          <w:tab w:val="clear" w:pos="4153"/>
          <w:tab w:val="clear" w:pos="8306"/>
        </w:tabs>
        <w:rPr>
          <w:rFonts w:ascii="Arial" w:hAnsi="Arial" w:cs="Arial"/>
          <w:lang w:val="en-GB"/>
        </w:rPr>
      </w:pPr>
    </w:p>
    <w:p w14:paraId="5CE1101C" w14:textId="02380E2C"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The Client shall be entitled to cancel the </w:t>
      </w:r>
      <w:r w:rsidR="00570D97">
        <w:rPr>
          <w:rFonts w:ascii="Arial" w:hAnsi="Arial" w:cs="Arial"/>
          <w:lang w:val="en-GB"/>
        </w:rPr>
        <w:t>Pension</w:t>
      </w:r>
      <w:r w:rsidRPr="006A1297">
        <w:rPr>
          <w:rFonts w:ascii="Arial" w:hAnsi="Arial" w:cs="Arial"/>
          <w:lang w:val="en-GB"/>
        </w:rPr>
        <w:t xml:space="preserve"> Savings Accounts exclusively collectively at any time, without a period of notice, however he/she shall be required to request:</w:t>
      </w:r>
    </w:p>
    <w:p w14:paraId="4133EB4C" w14:textId="5F87C9F4" w:rsidR="00A952B4" w:rsidRPr="006A1297" w:rsidRDefault="00A952B4">
      <w:pPr>
        <w:pStyle w:val="Header"/>
        <w:numPr>
          <w:ilvl w:val="0"/>
          <w:numId w:val="17"/>
        </w:numPr>
        <w:tabs>
          <w:tab w:val="clear" w:pos="4153"/>
          <w:tab w:val="clear" w:pos="8306"/>
        </w:tabs>
        <w:rPr>
          <w:rFonts w:ascii="Arial" w:hAnsi="Arial" w:cs="Arial"/>
          <w:lang w:val="en-GB"/>
        </w:rPr>
      </w:pPr>
      <w:r w:rsidRPr="006A1297">
        <w:rPr>
          <w:rFonts w:ascii="Arial" w:hAnsi="Arial" w:cs="Arial"/>
          <w:lang w:val="en-GB"/>
        </w:rPr>
        <w:t xml:space="preserve">the transfer of the securities and funds kept on the </w:t>
      </w:r>
      <w:r w:rsidR="00570D97">
        <w:rPr>
          <w:rFonts w:ascii="Arial" w:hAnsi="Arial" w:cs="Arial"/>
          <w:lang w:val="en-GB"/>
        </w:rPr>
        <w:t>Pension</w:t>
      </w:r>
      <w:r w:rsidRPr="006A1297">
        <w:rPr>
          <w:rFonts w:ascii="Arial" w:hAnsi="Arial" w:cs="Arial"/>
          <w:lang w:val="en-GB"/>
        </w:rPr>
        <w:t xml:space="preserve"> Savings Accounts to </w:t>
      </w:r>
      <w:r w:rsidR="00570D97">
        <w:rPr>
          <w:rFonts w:ascii="Arial" w:hAnsi="Arial" w:cs="Arial"/>
          <w:lang w:val="en-GB"/>
        </w:rPr>
        <w:t>pension</w:t>
      </w:r>
      <w:r w:rsidRPr="006A1297">
        <w:rPr>
          <w:rFonts w:ascii="Arial" w:hAnsi="Arial" w:cs="Arial"/>
          <w:lang w:val="en-GB"/>
        </w:rPr>
        <w:t xml:space="preserve"> savings accounts kept with another account-holding bank specified by him/her, or</w:t>
      </w:r>
    </w:p>
    <w:p w14:paraId="7FD69660" w14:textId="30DECE5A" w:rsidR="00A952B4" w:rsidRPr="006A1297" w:rsidRDefault="00A952B4">
      <w:pPr>
        <w:pStyle w:val="Header"/>
        <w:numPr>
          <w:ilvl w:val="0"/>
          <w:numId w:val="17"/>
        </w:numPr>
        <w:tabs>
          <w:tab w:val="clear" w:pos="4153"/>
          <w:tab w:val="clear" w:pos="8306"/>
        </w:tabs>
        <w:rPr>
          <w:rFonts w:ascii="Arial" w:hAnsi="Arial" w:cs="Arial"/>
          <w:color w:val="000000"/>
          <w:lang w:val="en-GB"/>
        </w:rPr>
      </w:pPr>
      <w:r w:rsidRPr="006A1297">
        <w:rPr>
          <w:rFonts w:ascii="Arial" w:hAnsi="Arial" w:cs="Arial"/>
          <w:lang w:val="en-GB"/>
        </w:rPr>
        <w:t xml:space="preserve">the sale of the securities kept on the Consolidated </w:t>
      </w:r>
      <w:r w:rsidR="00570D97">
        <w:rPr>
          <w:rFonts w:ascii="Arial" w:hAnsi="Arial" w:cs="Arial"/>
          <w:lang w:val="en-GB"/>
        </w:rPr>
        <w:t>Pension</w:t>
      </w:r>
      <w:r w:rsidRPr="006A1297">
        <w:rPr>
          <w:rFonts w:ascii="Arial" w:hAnsi="Arial" w:cs="Arial"/>
          <w:lang w:val="en-GB"/>
        </w:rPr>
        <w:t xml:space="preserve"> Savings Securities Account at a time specified by him/her and following this – namely following the sale and crediting the proceeds to the </w:t>
      </w:r>
      <w:r w:rsidR="00570D97">
        <w:rPr>
          <w:rFonts w:ascii="Arial" w:hAnsi="Arial" w:cs="Arial"/>
          <w:lang w:val="en-GB"/>
        </w:rPr>
        <w:t>Pension</w:t>
      </w:r>
      <w:r w:rsidRPr="006A1297">
        <w:rPr>
          <w:rFonts w:ascii="Arial" w:hAnsi="Arial" w:cs="Arial"/>
          <w:lang w:val="en-GB"/>
        </w:rPr>
        <w:t xml:space="preserve"> Savings Account marked with (2) – the payment of the funds kept on the </w:t>
      </w:r>
      <w:r w:rsidR="00570D97">
        <w:rPr>
          <w:rFonts w:ascii="Arial" w:hAnsi="Arial" w:cs="Arial"/>
          <w:lang w:val="en-GB"/>
        </w:rPr>
        <w:t>Pension</w:t>
      </w:r>
      <w:r w:rsidRPr="006A1297">
        <w:rPr>
          <w:rFonts w:ascii="Arial" w:hAnsi="Arial" w:cs="Arial"/>
          <w:lang w:val="en-GB"/>
        </w:rPr>
        <w:t xml:space="preserve"> Savings Accounts, or</w:t>
      </w:r>
    </w:p>
    <w:p w14:paraId="6653E3EC" w14:textId="6E9F0E1C" w:rsidR="00A952B4" w:rsidRPr="006A1297" w:rsidRDefault="00A952B4">
      <w:pPr>
        <w:pStyle w:val="Header"/>
        <w:numPr>
          <w:ilvl w:val="0"/>
          <w:numId w:val="17"/>
        </w:numPr>
        <w:tabs>
          <w:tab w:val="clear" w:pos="4153"/>
          <w:tab w:val="clear" w:pos="8306"/>
        </w:tabs>
        <w:rPr>
          <w:rFonts w:ascii="Arial" w:hAnsi="Arial" w:cs="Arial"/>
          <w:color w:val="000000"/>
          <w:lang w:val="en-GB"/>
        </w:rPr>
      </w:pPr>
      <w:r w:rsidRPr="006A1297">
        <w:rPr>
          <w:rFonts w:ascii="Arial" w:hAnsi="Arial" w:cs="Arial"/>
          <w:color w:val="000000"/>
          <w:lang w:val="en-GB"/>
        </w:rPr>
        <w:t xml:space="preserve">the </w:t>
      </w:r>
      <w:r w:rsidR="00C454EF" w:rsidRPr="00C454EF">
        <w:rPr>
          <w:rFonts w:ascii="Arial" w:hAnsi="Arial" w:cs="Arial"/>
          <w:color w:val="000000"/>
          <w:lang w:val="en-GB"/>
        </w:rPr>
        <w:t xml:space="preserve">conversion the </w:t>
      </w:r>
      <w:r w:rsidR="00570D97">
        <w:rPr>
          <w:rFonts w:ascii="Arial" w:hAnsi="Arial" w:cs="Arial"/>
          <w:color w:val="000000"/>
          <w:lang w:val="en-GB"/>
        </w:rPr>
        <w:t>Pension</w:t>
      </w:r>
      <w:r w:rsidR="00C454EF" w:rsidRPr="00C454EF">
        <w:rPr>
          <w:rFonts w:ascii="Arial" w:hAnsi="Arial" w:cs="Arial"/>
          <w:color w:val="000000"/>
          <w:lang w:val="en-GB"/>
        </w:rPr>
        <w:t xml:space="preserve"> Savings Accounts to consolidated securities account and payment account,</w:t>
      </w:r>
      <w:r w:rsidRPr="006A1297">
        <w:rPr>
          <w:rFonts w:ascii="Arial" w:hAnsi="Arial" w:cs="Arial"/>
          <w:color w:val="000000"/>
          <w:lang w:val="en-GB"/>
        </w:rPr>
        <w:t xml:space="preserve"> or</w:t>
      </w:r>
    </w:p>
    <w:p w14:paraId="3B5BC919" w14:textId="66ED49F2" w:rsidR="00A952B4" w:rsidRPr="006A1297" w:rsidRDefault="00A952B4">
      <w:pPr>
        <w:pStyle w:val="Header"/>
        <w:numPr>
          <w:ilvl w:val="0"/>
          <w:numId w:val="17"/>
        </w:numPr>
        <w:tabs>
          <w:tab w:val="clear" w:pos="4153"/>
          <w:tab w:val="clear" w:pos="8306"/>
        </w:tabs>
        <w:rPr>
          <w:rFonts w:ascii="Arial" w:hAnsi="Arial" w:cs="Arial"/>
          <w:color w:val="000000"/>
          <w:lang w:val="en-GB"/>
        </w:rPr>
      </w:pPr>
      <w:r w:rsidRPr="006A1297">
        <w:rPr>
          <w:rFonts w:ascii="Arial" w:hAnsi="Arial" w:cs="Arial"/>
          <w:color w:val="000000"/>
          <w:lang w:val="en-GB"/>
        </w:rPr>
        <w:t xml:space="preserve">the </w:t>
      </w:r>
      <w:r w:rsidR="00C454EF" w:rsidRPr="00C454EF">
        <w:rPr>
          <w:rFonts w:ascii="Arial" w:hAnsi="Arial" w:cs="Arial"/>
          <w:color w:val="000000"/>
          <w:lang w:val="en-GB"/>
        </w:rPr>
        <w:t xml:space="preserve">transfer of the securities and funds kept on the </w:t>
      </w:r>
      <w:r w:rsidR="00570D97">
        <w:rPr>
          <w:rFonts w:ascii="Arial" w:hAnsi="Arial" w:cs="Arial"/>
          <w:color w:val="000000"/>
          <w:lang w:val="en-GB"/>
        </w:rPr>
        <w:t>Pension</w:t>
      </w:r>
      <w:r w:rsidR="00C454EF" w:rsidRPr="00C454EF">
        <w:rPr>
          <w:rFonts w:ascii="Arial" w:hAnsi="Arial" w:cs="Arial"/>
          <w:color w:val="000000"/>
          <w:lang w:val="en-GB"/>
        </w:rPr>
        <w:t xml:space="preserve"> Savings Accounts to a </w:t>
      </w:r>
      <w:proofErr w:type="gramStart"/>
      <w:r w:rsidR="00C454EF" w:rsidRPr="00C454EF">
        <w:rPr>
          <w:rFonts w:ascii="Arial" w:hAnsi="Arial" w:cs="Arial"/>
          <w:color w:val="000000"/>
          <w:lang w:val="en-GB"/>
        </w:rPr>
        <w:t>securities</w:t>
      </w:r>
      <w:proofErr w:type="gramEnd"/>
      <w:r w:rsidR="00C454EF" w:rsidRPr="00C454EF">
        <w:rPr>
          <w:rFonts w:ascii="Arial" w:hAnsi="Arial" w:cs="Arial"/>
          <w:color w:val="000000"/>
          <w:lang w:val="en-GB"/>
        </w:rPr>
        <w:t xml:space="preserve"> or a payment account kept with the Bank or another account-holding </w:t>
      </w:r>
      <w:r w:rsidRPr="006A1297">
        <w:rPr>
          <w:rFonts w:ascii="Arial" w:hAnsi="Arial" w:cs="Arial"/>
          <w:color w:val="000000"/>
          <w:lang w:val="en-GB"/>
        </w:rPr>
        <w:t>bank</w:t>
      </w:r>
    </w:p>
    <w:p w14:paraId="3CBE9296" w14:textId="77777777" w:rsidR="00A952B4" w:rsidRPr="006A1297" w:rsidRDefault="00A952B4">
      <w:pPr>
        <w:pStyle w:val="Header"/>
        <w:tabs>
          <w:tab w:val="clear" w:pos="4153"/>
          <w:tab w:val="clear" w:pos="8306"/>
        </w:tabs>
        <w:rPr>
          <w:rFonts w:ascii="Arial" w:hAnsi="Arial" w:cs="Arial"/>
          <w:lang w:val="en-GB"/>
        </w:rPr>
      </w:pPr>
    </w:p>
    <w:p w14:paraId="760A643F" w14:textId="383AB9D5"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If the funds recorded on the </w:t>
      </w:r>
      <w:r w:rsidR="00570D97">
        <w:rPr>
          <w:rFonts w:ascii="Arial" w:hAnsi="Arial" w:cs="Arial"/>
          <w:lang w:val="en-GB"/>
        </w:rPr>
        <w:t>Pension</w:t>
      </w:r>
      <w:r w:rsidRPr="006A1297">
        <w:rPr>
          <w:rFonts w:ascii="Arial" w:hAnsi="Arial" w:cs="Arial"/>
          <w:lang w:val="en-GB"/>
        </w:rPr>
        <w:t xml:space="preserve"> Savings Account do not provide cover for the fulfilment of Client’s obligations set out in this Agreement, and the Client fails to meet such obligations even within 15 days after receipt of the Bank’s written request, the Bank shall be entitled to cancel the Agreement with prompt notice.</w:t>
      </w:r>
    </w:p>
    <w:p w14:paraId="07B4CA56" w14:textId="25BD39BC" w:rsidR="00A952B4" w:rsidRPr="006A1297" w:rsidRDefault="00A952B4">
      <w:pPr>
        <w:pStyle w:val="Header"/>
        <w:numPr>
          <w:ilvl w:val="1"/>
          <w:numId w:val="12"/>
        </w:numPr>
        <w:tabs>
          <w:tab w:val="clear" w:pos="4153"/>
          <w:tab w:val="clear" w:pos="8306"/>
        </w:tabs>
        <w:rPr>
          <w:rFonts w:ascii="Arial" w:hAnsi="Arial" w:cs="Arial"/>
          <w:color w:val="000000"/>
          <w:lang w:val="en-GB"/>
        </w:rPr>
      </w:pPr>
      <w:r w:rsidRPr="006A1297">
        <w:rPr>
          <w:rFonts w:ascii="Arial" w:hAnsi="Arial" w:cs="Arial"/>
          <w:lang w:val="en-GB"/>
        </w:rPr>
        <w:t xml:space="preserve">The Client shall be entitled to cancel the terms and conditions relating to the use of certain services described in Sections V-VI separately or collectively with a 1-month term of notice, whereas the Bank may cancel the same with a 2-month term of notice, without explanation, and beyond the cases described in the General Business Conditions the Bank may as well cancel these with the proper specification of the related causes, with immediate effect if the Client has served untrue data. </w:t>
      </w:r>
      <w:r w:rsidRPr="006A1297">
        <w:rPr>
          <w:rFonts w:ascii="Arial" w:hAnsi="Arial" w:cs="Arial"/>
          <w:color w:val="000000"/>
          <w:lang w:val="en-GB"/>
        </w:rPr>
        <w:t xml:space="preserve">The termination of certain contractual conditions related to the banking services referred above due to any reason shall not affect the validity of the terms and conditions applicable to the </w:t>
      </w:r>
      <w:r w:rsidR="00570D97">
        <w:rPr>
          <w:rFonts w:ascii="Arial" w:hAnsi="Arial" w:cs="Arial"/>
          <w:color w:val="000000"/>
          <w:lang w:val="en-GB"/>
        </w:rPr>
        <w:t>Pension</w:t>
      </w:r>
      <w:r w:rsidRPr="006A1297">
        <w:rPr>
          <w:rFonts w:ascii="Arial" w:hAnsi="Arial" w:cs="Arial"/>
          <w:color w:val="000000"/>
          <w:lang w:val="en-GB"/>
        </w:rPr>
        <w:t xml:space="preserve"> Savings Accounts. The Client acknowledges that in the event of the termination of the </w:t>
      </w:r>
      <w:r w:rsidR="00570D97">
        <w:rPr>
          <w:rFonts w:ascii="Arial" w:hAnsi="Arial" w:cs="Arial"/>
          <w:color w:val="000000"/>
          <w:lang w:val="en-GB"/>
        </w:rPr>
        <w:t>Pension</w:t>
      </w:r>
      <w:r w:rsidRPr="006A1297">
        <w:rPr>
          <w:rFonts w:ascii="Arial" w:hAnsi="Arial" w:cs="Arial"/>
          <w:color w:val="000000"/>
          <w:lang w:val="en-GB"/>
        </w:rPr>
        <w:t xml:space="preserve"> Savings Accounts due to any reasons, the agreement on banking </w:t>
      </w:r>
      <w:r w:rsidRPr="006A1297">
        <w:rPr>
          <w:rFonts w:ascii="Arial" w:hAnsi="Arial" w:cs="Arial"/>
          <w:color w:val="000000"/>
          <w:lang w:val="en-GB"/>
        </w:rPr>
        <w:lastRenderedPageBreak/>
        <w:t xml:space="preserve">services used by him/her in relation thereto and regulated herein shall become ineffective simultaneously with the termination of this Agreement automatically and without the need to take any further measures. </w:t>
      </w:r>
    </w:p>
    <w:p w14:paraId="3DC30C0D" w14:textId="2755228E" w:rsidR="00A952B4" w:rsidRPr="006A1297" w:rsidRDefault="00A952B4">
      <w:pPr>
        <w:numPr>
          <w:ilvl w:val="1"/>
          <w:numId w:val="12"/>
        </w:numPr>
        <w:autoSpaceDE w:val="0"/>
        <w:autoSpaceDN w:val="0"/>
        <w:adjustRightInd w:val="0"/>
        <w:jc w:val="both"/>
        <w:rPr>
          <w:rFonts w:ascii="Arial" w:hAnsi="Arial" w:cs="Arial"/>
          <w:bCs/>
          <w:color w:val="000000"/>
          <w:lang w:val="en-GB" w:eastAsia="hu-HU"/>
        </w:rPr>
      </w:pPr>
      <w:r w:rsidRPr="006A1297">
        <w:rPr>
          <w:rFonts w:ascii="Arial" w:hAnsi="Arial" w:cs="Arial"/>
          <w:lang w:val="en-GB" w:eastAsia="hu-HU"/>
        </w:rPr>
        <w:t xml:space="preserve">If the Client instructs for a payment, transfer or in-bank transfer from the </w:t>
      </w:r>
      <w:r w:rsidR="00570D97">
        <w:rPr>
          <w:rFonts w:ascii="Arial" w:hAnsi="Arial" w:cs="Arial"/>
          <w:lang w:val="en-GB" w:eastAsia="hu-HU"/>
        </w:rPr>
        <w:t>Pension</w:t>
      </w:r>
      <w:r w:rsidRPr="006A1297">
        <w:rPr>
          <w:rFonts w:ascii="Arial" w:hAnsi="Arial" w:cs="Arial"/>
          <w:lang w:val="en-GB" w:eastAsia="hu-HU"/>
        </w:rPr>
        <w:t xml:space="preserve"> Savings Account not qualified as </w:t>
      </w:r>
      <w:r w:rsidR="00570D97">
        <w:rPr>
          <w:rFonts w:ascii="Arial" w:hAnsi="Arial" w:cs="Arial"/>
          <w:lang w:val="en-GB" w:eastAsia="hu-HU"/>
        </w:rPr>
        <w:t>pension</w:t>
      </w:r>
      <w:r w:rsidRPr="006A1297">
        <w:rPr>
          <w:rFonts w:ascii="Arial" w:hAnsi="Arial" w:cs="Arial"/>
          <w:lang w:val="en-GB" w:eastAsia="hu-HU"/>
        </w:rPr>
        <w:t xml:space="preserve"> service according to the </w:t>
      </w:r>
      <w:proofErr w:type="spellStart"/>
      <w:r w:rsidRPr="006A1297">
        <w:rPr>
          <w:rFonts w:ascii="Arial" w:hAnsi="Arial" w:cs="Arial"/>
          <w:lang w:val="en-GB" w:eastAsia="hu-HU"/>
        </w:rPr>
        <w:t>Nyesz</w:t>
      </w:r>
      <w:proofErr w:type="spellEnd"/>
      <w:r w:rsidRPr="006A1297">
        <w:rPr>
          <w:rFonts w:ascii="Arial" w:hAnsi="Arial" w:cs="Arial"/>
          <w:lang w:val="en-GB" w:eastAsia="hu-HU"/>
        </w:rPr>
        <w:t xml:space="preserve"> Act, including the event when the Client cancels the </w:t>
      </w:r>
      <w:r w:rsidR="00570D97">
        <w:rPr>
          <w:rFonts w:ascii="Arial" w:hAnsi="Arial" w:cs="Arial"/>
          <w:lang w:val="en-GB" w:eastAsia="hu-HU"/>
        </w:rPr>
        <w:t>Pension</w:t>
      </w:r>
      <w:r w:rsidRPr="006A1297">
        <w:rPr>
          <w:rFonts w:ascii="Arial" w:hAnsi="Arial" w:cs="Arial"/>
          <w:lang w:val="en-GB" w:eastAsia="hu-HU"/>
        </w:rPr>
        <w:t xml:space="preserve"> Savings Account in the tax years prior to the </w:t>
      </w:r>
      <w:r w:rsidR="00506BB9">
        <w:rPr>
          <w:rFonts w:ascii="Arial" w:hAnsi="Arial" w:cs="Arial"/>
          <w:lang w:val="en-GB" w:eastAsia="hu-HU"/>
        </w:rPr>
        <w:t xml:space="preserve">tenth </w:t>
      </w:r>
      <w:r w:rsidRPr="006A1297">
        <w:rPr>
          <w:rFonts w:ascii="Arial" w:hAnsi="Arial" w:cs="Arial"/>
          <w:lang w:val="en-GB" w:eastAsia="hu-HU"/>
        </w:rPr>
        <w:t xml:space="preserve">tax year following the tax year in which the account was opened, or if at the time of cancellation the Client is not yet entitled to the </w:t>
      </w:r>
      <w:r w:rsidR="00570D97">
        <w:rPr>
          <w:rFonts w:ascii="Arial" w:hAnsi="Arial" w:cs="Arial"/>
          <w:lang w:val="en-GB" w:eastAsia="hu-HU"/>
        </w:rPr>
        <w:t>pension</w:t>
      </w:r>
      <w:r w:rsidRPr="006A1297">
        <w:rPr>
          <w:rFonts w:ascii="Arial" w:hAnsi="Arial" w:cs="Arial"/>
          <w:lang w:val="en-GB" w:eastAsia="hu-HU"/>
        </w:rPr>
        <w:t xml:space="preserve"> </w:t>
      </w:r>
      <w:r w:rsidRPr="006A1297">
        <w:rPr>
          <w:rFonts w:ascii="Arial" w:hAnsi="Arial" w:cs="Arial"/>
          <w:color w:val="000000"/>
          <w:lang w:val="en-GB" w:eastAsia="hu-HU"/>
        </w:rPr>
        <w:t xml:space="preserve">specified in Section 3 Paragraph 23 of the </w:t>
      </w:r>
      <w:proofErr w:type="spellStart"/>
      <w:r w:rsidRPr="006A1297">
        <w:rPr>
          <w:rFonts w:ascii="Arial" w:hAnsi="Arial" w:cs="Arial"/>
          <w:color w:val="000000"/>
          <w:lang w:val="en-GB" w:eastAsia="hu-HU"/>
        </w:rPr>
        <w:t>Szja</w:t>
      </w:r>
      <w:proofErr w:type="spellEnd"/>
      <w:r w:rsidRPr="006A1297">
        <w:rPr>
          <w:rFonts w:ascii="Arial" w:hAnsi="Arial" w:cs="Arial"/>
          <w:color w:val="000000"/>
          <w:lang w:val="en-GB" w:eastAsia="hu-HU"/>
        </w:rPr>
        <w:t xml:space="preserve"> Act, then the part of the credit amount (in case of recorded after-tax credit amount following the registration of the credit amount) on the </w:t>
      </w:r>
      <w:r w:rsidR="00570D97">
        <w:rPr>
          <w:rFonts w:ascii="Arial" w:hAnsi="Arial" w:cs="Arial"/>
          <w:color w:val="000000"/>
          <w:lang w:val="en-GB" w:eastAsia="hu-HU"/>
        </w:rPr>
        <w:t>Pension</w:t>
      </w:r>
      <w:r w:rsidRPr="006A1297">
        <w:rPr>
          <w:rFonts w:ascii="Arial" w:hAnsi="Arial" w:cs="Arial"/>
          <w:color w:val="000000"/>
          <w:lang w:val="en-GB" w:eastAsia="hu-HU"/>
        </w:rPr>
        <w:t xml:space="preserve"> Savings Account shown by </w:t>
      </w:r>
      <w:r w:rsidR="00C454EF">
        <w:rPr>
          <w:rFonts w:ascii="Arial" w:hAnsi="Arial" w:cs="Arial"/>
          <w:color w:val="000000"/>
          <w:lang w:val="en-GB" w:eastAsia="hu-HU"/>
        </w:rPr>
        <w:t xml:space="preserve">the </w:t>
      </w:r>
      <w:r w:rsidRPr="006A1297">
        <w:rPr>
          <w:rFonts w:ascii="Arial" w:hAnsi="Arial" w:cs="Arial"/>
          <w:color w:val="000000"/>
          <w:lang w:val="en-GB" w:eastAsia="hu-HU"/>
        </w:rPr>
        <w:t>Bank - at regular market value - in excess of the sum total of payments and transfers, income from dividends, already credited Advance savings subsidy and the already recorded after-tax credit amount shall be considered as the Client’s other income.</w:t>
      </w:r>
    </w:p>
    <w:p w14:paraId="7EB21B25" w14:textId="77777777" w:rsidR="00A952B4" w:rsidRPr="006A1297" w:rsidRDefault="00A952B4">
      <w:pPr>
        <w:autoSpaceDE w:val="0"/>
        <w:autoSpaceDN w:val="0"/>
        <w:adjustRightInd w:val="0"/>
        <w:jc w:val="both"/>
        <w:rPr>
          <w:rFonts w:ascii="Arial" w:hAnsi="Arial" w:cs="Arial"/>
          <w:color w:val="0000FF"/>
          <w:lang w:val="en-GB" w:eastAsia="hu-HU"/>
        </w:rPr>
      </w:pPr>
    </w:p>
    <w:p w14:paraId="11C86523" w14:textId="77777777" w:rsidR="00A952B4" w:rsidRPr="006A1297" w:rsidRDefault="00A952B4" w:rsidP="00D83ADC">
      <w:pPr>
        <w:pStyle w:val="Header"/>
        <w:tabs>
          <w:tab w:val="clear" w:pos="4153"/>
          <w:tab w:val="clear" w:pos="8306"/>
        </w:tabs>
        <w:rPr>
          <w:rFonts w:ascii="Arial" w:hAnsi="Arial" w:cs="Arial"/>
          <w:bCs/>
          <w:lang w:val="en-GB"/>
        </w:rPr>
      </w:pPr>
      <w:r w:rsidRPr="006A1297">
        <w:rPr>
          <w:rFonts w:ascii="Arial" w:hAnsi="Arial" w:cs="Arial"/>
          <w:lang w:val="en-GB" w:eastAsia="hu-HU"/>
        </w:rPr>
        <w:t xml:space="preserve">In this case, the Client must declare in the declaration of income for tax return of the current year and pay the amount of already transferred (in the case of after-tax credit amount transferred following the registration) Advance savings subsidy at a value increased by 20% </w:t>
      </w:r>
      <w:proofErr w:type="gramStart"/>
      <w:r w:rsidRPr="006A1297">
        <w:rPr>
          <w:rFonts w:ascii="Arial" w:hAnsi="Arial" w:cs="Arial"/>
          <w:lang w:val="en-GB" w:eastAsia="hu-HU"/>
        </w:rPr>
        <w:t>on the basis of</w:t>
      </w:r>
      <w:proofErr w:type="gramEnd"/>
      <w:r w:rsidRPr="006A1297">
        <w:rPr>
          <w:rFonts w:ascii="Arial" w:hAnsi="Arial" w:cs="Arial"/>
          <w:lang w:val="en-GB" w:eastAsia="hu-HU"/>
        </w:rPr>
        <w:t xml:space="preserve"> the tax certificate issued by the Bank on the income subject to taxation.</w:t>
      </w:r>
    </w:p>
    <w:p w14:paraId="4FDCAB95" w14:textId="77777777" w:rsidR="00A952B4" w:rsidRPr="006A1297" w:rsidRDefault="00A952B4">
      <w:pPr>
        <w:pStyle w:val="Header"/>
        <w:tabs>
          <w:tab w:val="clear" w:pos="4153"/>
          <w:tab w:val="clear" w:pos="8306"/>
        </w:tabs>
        <w:rPr>
          <w:rFonts w:ascii="Arial" w:hAnsi="Arial" w:cs="Arial"/>
          <w:b/>
          <w:bCs/>
          <w:lang w:val="en-GB"/>
        </w:rPr>
      </w:pPr>
    </w:p>
    <w:p w14:paraId="5FAF51FD" w14:textId="77777777" w:rsidR="00A952B4" w:rsidRPr="006A1297" w:rsidRDefault="00A952B4">
      <w:pPr>
        <w:pStyle w:val="Header"/>
        <w:numPr>
          <w:ilvl w:val="0"/>
          <w:numId w:val="12"/>
        </w:numPr>
        <w:tabs>
          <w:tab w:val="clear" w:pos="4153"/>
          <w:tab w:val="clear" w:pos="8306"/>
        </w:tabs>
        <w:rPr>
          <w:rFonts w:ascii="Arial" w:hAnsi="Arial" w:cs="Arial"/>
          <w:b/>
          <w:bCs/>
          <w:lang w:val="en-GB"/>
        </w:rPr>
      </w:pPr>
      <w:r w:rsidRPr="006A1297">
        <w:rPr>
          <w:rFonts w:ascii="Arial" w:hAnsi="Arial" w:cs="Arial"/>
          <w:b/>
          <w:bCs/>
          <w:lang w:val="en-GB"/>
        </w:rPr>
        <w:t>Other provisions</w:t>
      </w:r>
    </w:p>
    <w:p w14:paraId="63E92F19" w14:textId="77777777" w:rsidR="00A952B4" w:rsidRPr="006A1297" w:rsidRDefault="00A952B4">
      <w:pPr>
        <w:pStyle w:val="Header"/>
        <w:tabs>
          <w:tab w:val="clear" w:pos="4153"/>
          <w:tab w:val="clear" w:pos="8306"/>
        </w:tabs>
        <w:rPr>
          <w:rFonts w:ascii="Arial" w:hAnsi="Arial" w:cs="Arial"/>
          <w:b/>
          <w:bCs/>
          <w:lang w:val="en-GB"/>
        </w:rPr>
      </w:pPr>
    </w:p>
    <w:p w14:paraId="03C0CA45" w14:textId="77777777"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The Parties agree that in the case that the Client does not wish to use any or all the services defined under Sections V-VI, the sections regulating these services will have to be regarded as non-existent, under the condition that this fact does not affect the other, validly defined provisions.</w:t>
      </w:r>
    </w:p>
    <w:p w14:paraId="161C7A08" w14:textId="77777777" w:rsidR="00A952B4" w:rsidRPr="006A1297" w:rsidRDefault="00A952B4">
      <w:pPr>
        <w:pStyle w:val="Header"/>
        <w:tabs>
          <w:tab w:val="clear" w:pos="4153"/>
          <w:tab w:val="clear" w:pos="8306"/>
        </w:tabs>
        <w:rPr>
          <w:rFonts w:ascii="Arial" w:hAnsi="Arial" w:cs="Arial"/>
          <w:lang w:val="en-GB"/>
        </w:rPr>
      </w:pPr>
    </w:p>
    <w:p w14:paraId="5D824AE3" w14:textId="77777777"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The Client acknowledges that he/she can modify or amend the required services under the term of the present Agreement signed by the Parties on the appropriate forms. This (these) data sheet(s) is/are the inseparable part(s) of this Agreement, the Agreement shall be valid from the date of signing it by the Contracting Parties together with the conditions set out in the amended/modified data sheets.</w:t>
      </w:r>
    </w:p>
    <w:p w14:paraId="6A7FD954" w14:textId="77777777" w:rsidR="00A952B4" w:rsidRPr="006A1297" w:rsidRDefault="00A952B4">
      <w:pPr>
        <w:pStyle w:val="Header"/>
        <w:tabs>
          <w:tab w:val="clear" w:pos="4153"/>
          <w:tab w:val="clear" w:pos="8306"/>
        </w:tabs>
        <w:rPr>
          <w:rFonts w:ascii="Arial" w:hAnsi="Arial" w:cs="Arial"/>
          <w:lang w:val="en-GB"/>
        </w:rPr>
      </w:pPr>
    </w:p>
    <w:p w14:paraId="45C156D0" w14:textId="77777777" w:rsidR="00A952B4" w:rsidRPr="006A1297" w:rsidRDefault="00A952B4">
      <w:pPr>
        <w:pStyle w:val="Header"/>
        <w:numPr>
          <w:ilvl w:val="1"/>
          <w:numId w:val="12"/>
        </w:numPr>
        <w:tabs>
          <w:tab w:val="clear" w:pos="4153"/>
          <w:tab w:val="clear" w:pos="8306"/>
        </w:tabs>
        <w:rPr>
          <w:rFonts w:ascii="Arial" w:hAnsi="Arial" w:cs="Arial"/>
          <w:lang w:val="en-GB"/>
        </w:rPr>
      </w:pPr>
      <w:r w:rsidRPr="006A1297">
        <w:rPr>
          <w:rFonts w:ascii="Arial" w:hAnsi="Arial" w:cs="Arial"/>
          <w:lang w:val="en-GB"/>
        </w:rPr>
        <w:t xml:space="preserve">Regarding </w:t>
      </w:r>
      <w:r w:rsidR="00EA6FC1" w:rsidRPr="00EA6FC1">
        <w:rPr>
          <w:rFonts w:ascii="Arial" w:hAnsi="Arial" w:cs="Arial"/>
          <w:lang w:val="en-GB"/>
        </w:rPr>
        <w:t>any issues not regulated herein the Bank’s General Business Conditions on Investment Services and Ancillary Service, its General Terms and Conditions and the General Business Conditions for Private Customers shall apply. The Client hereby declares to have become familiar with the Bank’s Business Terms as indicated above and accepts the provisions contained therein as binding on himself/herself</w:t>
      </w:r>
      <w:r w:rsidRPr="006A1297">
        <w:rPr>
          <w:rFonts w:ascii="Arial" w:hAnsi="Arial" w:cs="Arial"/>
          <w:lang w:val="en-GB"/>
        </w:rPr>
        <w:t xml:space="preserve">. </w:t>
      </w:r>
    </w:p>
    <w:p w14:paraId="252C4799" w14:textId="77777777" w:rsidR="00A952B4" w:rsidRPr="006A1297" w:rsidRDefault="00A952B4">
      <w:pPr>
        <w:pStyle w:val="Header"/>
        <w:tabs>
          <w:tab w:val="clear" w:pos="4153"/>
          <w:tab w:val="clear" w:pos="8306"/>
        </w:tabs>
        <w:rPr>
          <w:rFonts w:ascii="Arial" w:hAnsi="Arial" w:cs="Arial"/>
          <w:lang w:val="en-GB"/>
        </w:rPr>
      </w:pPr>
    </w:p>
    <w:p w14:paraId="2EC390D9" w14:textId="77777777" w:rsidR="00EA6FC1" w:rsidRPr="00EA6FC1" w:rsidRDefault="00EA6FC1" w:rsidP="00EA6FC1">
      <w:pPr>
        <w:pStyle w:val="Header"/>
        <w:numPr>
          <w:ilvl w:val="1"/>
          <w:numId w:val="12"/>
        </w:numPr>
        <w:tabs>
          <w:tab w:val="clear" w:pos="4153"/>
          <w:tab w:val="clear" w:pos="8306"/>
        </w:tabs>
        <w:rPr>
          <w:rFonts w:ascii="Arial" w:hAnsi="Arial" w:cs="Arial"/>
          <w:lang w:val="en-GB"/>
        </w:rPr>
      </w:pPr>
      <w:r w:rsidRPr="00EA6FC1">
        <w:rPr>
          <w:rFonts w:ascii="Arial" w:hAnsi="Arial" w:cs="Arial"/>
          <w:lang w:val="en-GB"/>
        </w:rPr>
        <w:t>Parties declare that they have agreed in all material terms of the subject matter of this Agreement and this Agreement constitutes the entire agreement and understanding of the Parties. This Agreement does not include any practice existing between the parties or any market practice prevailing on the market without any express reference made to such practice in this Agreement.</w:t>
      </w:r>
    </w:p>
    <w:p w14:paraId="1F98ADA0" w14:textId="77777777" w:rsidR="00EA6FC1" w:rsidRPr="00EA6FC1" w:rsidRDefault="00EA6FC1" w:rsidP="00EA6FC1">
      <w:pPr>
        <w:pStyle w:val="Header"/>
        <w:numPr>
          <w:ilvl w:val="1"/>
          <w:numId w:val="12"/>
        </w:numPr>
        <w:tabs>
          <w:tab w:val="clear" w:pos="4153"/>
          <w:tab w:val="clear" w:pos="8306"/>
        </w:tabs>
        <w:rPr>
          <w:rFonts w:ascii="Arial" w:hAnsi="Arial" w:cs="Arial"/>
          <w:lang w:val="en-GB"/>
        </w:rPr>
      </w:pPr>
    </w:p>
    <w:p w14:paraId="3F498FF8" w14:textId="5A8129EA" w:rsidR="00A952B4" w:rsidRDefault="00EA6FC1" w:rsidP="00514C4B">
      <w:pPr>
        <w:pStyle w:val="Header"/>
        <w:numPr>
          <w:ilvl w:val="1"/>
          <w:numId w:val="12"/>
        </w:numPr>
        <w:tabs>
          <w:tab w:val="clear" w:pos="4153"/>
          <w:tab w:val="clear" w:pos="8306"/>
        </w:tabs>
        <w:rPr>
          <w:rFonts w:ascii="Arial" w:hAnsi="Arial" w:cs="Arial"/>
          <w:lang w:val="en-GB"/>
        </w:rPr>
      </w:pPr>
      <w:r w:rsidRPr="00EA6FC1">
        <w:rPr>
          <w:rFonts w:ascii="Arial" w:hAnsi="Arial" w:cs="Arial"/>
          <w:lang w:val="en-GB"/>
        </w:rPr>
        <w:t xml:space="preserve">This Agreement and the legal relationship between the Bank and the Client shall be governed by the provisions of the relevant legislation, thus in particular the </w:t>
      </w:r>
      <w:proofErr w:type="spellStart"/>
      <w:r w:rsidRPr="00EA6FC1">
        <w:rPr>
          <w:rFonts w:ascii="Arial" w:hAnsi="Arial" w:cs="Arial"/>
          <w:lang w:val="en-GB"/>
        </w:rPr>
        <w:t>Nyesz</w:t>
      </w:r>
      <w:proofErr w:type="spellEnd"/>
      <w:r w:rsidRPr="00EA6FC1">
        <w:rPr>
          <w:rFonts w:ascii="Arial" w:hAnsi="Arial" w:cs="Arial"/>
          <w:lang w:val="en-GB"/>
        </w:rPr>
        <w:t xml:space="preserve"> Act, the capital markets act, </w:t>
      </w:r>
      <w:r w:rsidR="00514C4B">
        <w:rPr>
          <w:rFonts w:ascii="Arial" w:hAnsi="Arial" w:cs="Arial"/>
          <w:lang w:val="en-GB"/>
        </w:rPr>
        <w:t xml:space="preserve">the </w:t>
      </w:r>
      <w:r w:rsidR="00514C4B" w:rsidRPr="00514C4B">
        <w:rPr>
          <w:rFonts w:ascii="Arial" w:hAnsi="Arial" w:cs="Arial"/>
          <w:lang w:val="en-GB"/>
        </w:rPr>
        <w:t>Investment Services Act</w:t>
      </w:r>
      <w:r w:rsidR="00514C4B">
        <w:rPr>
          <w:rFonts w:ascii="Arial" w:hAnsi="Arial" w:cs="Arial"/>
          <w:lang w:val="en-GB"/>
        </w:rPr>
        <w:t>,</w:t>
      </w:r>
      <w:r w:rsidR="00514C4B" w:rsidRPr="00514C4B">
        <w:rPr>
          <w:rFonts w:ascii="Arial" w:hAnsi="Arial" w:cs="Arial"/>
          <w:lang w:val="en-GB"/>
        </w:rPr>
        <w:t xml:space="preserve"> </w:t>
      </w:r>
      <w:r w:rsidRPr="00EA6FC1">
        <w:rPr>
          <w:rFonts w:ascii="Arial" w:hAnsi="Arial" w:cs="Arial"/>
          <w:lang w:val="en-GB"/>
        </w:rPr>
        <w:t>the Banking Act and the Civil Code, as well as the provisions of payment services</w:t>
      </w:r>
      <w:r w:rsidR="00514C4B">
        <w:rPr>
          <w:rFonts w:ascii="Arial" w:hAnsi="Arial" w:cs="Arial"/>
          <w:lang w:val="en-GB"/>
        </w:rPr>
        <w:t>.</w:t>
      </w:r>
    </w:p>
    <w:p w14:paraId="1636A220" w14:textId="77777777" w:rsidR="00EA6FC1" w:rsidRPr="00EA6FC1" w:rsidRDefault="00EA6FC1" w:rsidP="00D83ADC">
      <w:pPr>
        <w:pStyle w:val="Header"/>
        <w:tabs>
          <w:tab w:val="clear" w:pos="4153"/>
          <w:tab w:val="clear" w:pos="8306"/>
        </w:tabs>
        <w:rPr>
          <w:rFonts w:ascii="Arial" w:hAnsi="Arial" w:cs="Arial"/>
          <w:lang w:val="en-GB"/>
        </w:rPr>
      </w:pPr>
    </w:p>
    <w:p w14:paraId="48F655F4" w14:textId="77777777" w:rsidR="00A952B4" w:rsidRDefault="00A952B4">
      <w:pPr>
        <w:pStyle w:val="Header"/>
        <w:numPr>
          <w:ilvl w:val="1"/>
          <w:numId w:val="12"/>
        </w:numPr>
        <w:tabs>
          <w:tab w:val="clear" w:pos="4153"/>
          <w:tab w:val="clear" w:pos="8306"/>
        </w:tabs>
        <w:rPr>
          <w:rFonts w:ascii="Arial" w:hAnsi="Arial" w:cs="Arial"/>
          <w:color w:val="000000"/>
          <w:lang w:val="en-GB"/>
        </w:rPr>
      </w:pPr>
      <w:r w:rsidRPr="006A1297">
        <w:rPr>
          <w:rFonts w:ascii="Arial" w:hAnsi="Arial" w:cs="Arial"/>
          <w:lang w:val="en-GB"/>
        </w:rPr>
        <w:t xml:space="preserve">This Agreement shall become effective on the day of signing it by both parties and shall be valid for an indefinite </w:t>
      </w:r>
      <w:proofErr w:type="gramStart"/>
      <w:r w:rsidRPr="006A1297">
        <w:rPr>
          <w:rFonts w:ascii="Arial" w:hAnsi="Arial" w:cs="Arial"/>
          <w:lang w:val="en-GB"/>
        </w:rPr>
        <w:t>period of time</w:t>
      </w:r>
      <w:proofErr w:type="gramEnd"/>
      <w:r w:rsidRPr="006A1297">
        <w:rPr>
          <w:rFonts w:ascii="Arial" w:hAnsi="Arial" w:cs="Arial"/>
          <w:lang w:val="en-GB"/>
        </w:rPr>
        <w:t xml:space="preserve">. The Client declares that he/she has marked the use of services under Sections V-VI prior of having signed the Agreement.  </w:t>
      </w:r>
      <w:r w:rsidRPr="006A1297">
        <w:rPr>
          <w:rFonts w:ascii="Arial" w:hAnsi="Arial" w:cs="Arial"/>
          <w:color w:val="000000"/>
          <w:lang w:val="en-GB"/>
        </w:rPr>
        <w:t>This Agreement has been made in two copies, and one copy has been delivered to the Client.</w:t>
      </w:r>
    </w:p>
    <w:p w14:paraId="2D4C518D" w14:textId="77777777" w:rsidR="00143D22" w:rsidRDefault="00143D22" w:rsidP="00143D22">
      <w:pPr>
        <w:pStyle w:val="Header"/>
        <w:tabs>
          <w:tab w:val="clear" w:pos="4153"/>
          <w:tab w:val="clear" w:pos="8306"/>
        </w:tabs>
        <w:rPr>
          <w:rFonts w:ascii="Arial" w:hAnsi="Arial" w:cs="Arial"/>
          <w:color w:val="000000"/>
          <w:lang w:val="en-GB"/>
        </w:rPr>
      </w:pPr>
    </w:p>
    <w:p w14:paraId="63E154E1" w14:textId="77777777" w:rsidR="00143D22" w:rsidRPr="006A1297" w:rsidRDefault="00143D22" w:rsidP="00143D22">
      <w:pPr>
        <w:pStyle w:val="Header"/>
        <w:numPr>
          <w:ilvl w:val="1"/>
          <w:numId w:val="12"/>
        </w:numPr>
        <w:tabs>
          <w:tab w:val="clear" w:pos="4153"/>
          <w:tab w:val="clear" w:pos="8306"/>
        </w:tabs>
        <w:rPr>
          <w:rFonts w:ascii="Arial" w:hAnsi="Arial" w:cs="Arial"/>
          <w:color w:val="000000"/>
          <w:lang w:val="en-GB"/>
        </w:rPr>
      </w:pPr>
      <w:r w:rsidRPr="00143D22">
        <w:rPr>
          <w:rFonts w:ascii="Arial" w:hAnsi="Arial" w:cs="Arial"/>
          <w:color w:val="000000"/>
          <w:lang w:val="en-GB"/>
        </w:rPr>
        <w:t xml:space="preserve">In case of deposits </w:t>
      </w:r>
      <w:r w:rsidRPr="00143D22">
        <w:rPr>
          <w:rFonts w:ascii="Arial" w:hAnsi="Arial" w:cs="Arial"/>
          <w:lang w:val="en-GB"/>
        </w:rPr>
        <w:t>insured</w:t>
      </w:r>
      <w:r w:rsidRPr="00143D22">
        <w:rPr>
          <w:rFonts w:ascii="Arial" w:hAnsi="Arial" w:cs="Arial"/>
          <w:color w:val="000000"/>
          <w:lang w:val="en-GB"/>
        </w:rPr>
        <w:t xml:space="preserve"> by the National Deposit Insurance Fund offsetting between the Bank and the Client will be possible if the Client owes an overdue unpaid amount to the Bank expired before the day of the opening of the compensation procedure.</w:t>
      </w:r>
    </w:p>
    <w:p w14:paraId="56822097" w14:textId="77777777" w:rsidR="00A952B4" w:rsidRPr="006A1297" w:rsidRDefault="00A952B4">
      <w:pPr>
        <w:jc w:val="both"/>
        <w:rPr>
          <w:rFonts w:ascii="Arial" w:hAnsi="Arial" w:cs="Arial"/>
          <w:lang w:val="en-GB"/>
        </w:rPr>
      </w:pPr>
    </w:p>
    <w:p w14:paraId="59292D6D" w14:textId="77777777" w:rsidR="00A952B4" w:rsidRPr="006A1297" w:rsidRDefault="00A952B4">
      <w:pPr>
        <w:jc w:val="both"/>
        <w:rPr>
          <w:rFonts w:ascii="Arial" w:hAnsi="Arial" w:cs="Arial"/>
          <w:lang w:val="en-GB"/>
        </w:rPr>
      </w:pPr>
      <w:bookmarkStart w:id="17" w:name="SZAMLA_SzerzHely"/>
      <w:r w:rsidRPr="006A1297">
        <w:rPr>
          <w:rFonts w:ascii="Arial" w:hAnsi="Arial" w:cs="Arial"/>
          <w:lang w:val="en-GB"/>
        </w:rPr>
        <w:t>…............................</w:t>
      </w:r>
      <w:bookmarkEnd w:id="17"/>
      <w:r w:rsidRPr="006A1297">
        <w:rPr>
          <w:rFonts w:ascii="Arial" w:hAnsi="Arial" w:cs="Arial"/>
          <w:lang w:val="en-GB"/>
        </w:rPr>
        <w:t xml:space="preserve">, </w:t>
      </w:r>
      <w:bookmarkStart w:id="18" w:name="OPAC_Datum"/>
      <w:r w:rsidRPr="006A1297">
        <w:rPr>
          <w:rFonts w:ascii="Arial" w:hAnsi="Arial" w:cs="Arial"/>
          <w:lang w:val="en-GB"/>
        </w:rPr>
        <w:t>................…………….......</w:t>
      </w:r>
      <w:bookmarkEnd w:id="18"/>
    </w:p>
    <w:p w14:paraId="1BC09002" w14:textId="77777777" w:rsidR="00A952B4" w:rsidRPr="006A1297" w:rsidRDefault="00A952B4">
      <w:pPr>
        <w:jc w:val="both"/>
        <w:rPr>
          <w:rFonts w:ascii="Arial" w:hAnsi="Arial" w:cs="Arial"/>
          <w:lang w:val="en-GB"/>
        </w:rPr>
      </w:pPr>
    </w:p>
    <w:p w14:paraId="4561554C" w14:textId="77777777" w:rsidR="00A952B4" w:rsidRPr="006A1297" w:rsidRDefault="00A952B4">
      <w:pPr>
        <w:jc w:val="both"/>
        <w:rPr>
          <w:rFonts w:ascii="Arial" w:hAnsi="Arial" w:cs="Arial"/>
          <w:lang w:val="en-GB"/>
        </w:rPr>
      </w:pPr>
    </w:p>
    <w:p w14:paraId="421223C5" w14:textId="77777777" w:rsidR="00A952B4" w:rsidRPr="006A1297" w:rsidRDefault="00A952B4">
      <w:pPr>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696"/>
      </w:tblGrid>
      <w:tr w:rsidR="00A952B4" w:rsidRPr="006A1297" w14:paraId="500527D3" w14:textId="77777777">
        <w:tc>
          <w:tcPr>
            <w:tcW w:w="4808" w:type="dxa"/>
            <w:tcBorders>
              <w:top w:val="nil"/>
              <w:left w:val="nil"/>
              <w:bottom w:val="nil"/>
              <w:right w:val="nil"/>
            </w:tcBorders>
          </w:tcPr>
          <w:p w14:paraId="4CF30A44" w14:textId="77777777" w:rsidR="00A952B4" w:rsidRPr="00BE2794" w:rsidRDefault="00A952B4">
            <w:pPr>
              <w:pStyle w:val="Footer"/>
              <w:tabs>
                <w:tab w:val="clear" w:pos="4153"/>
                <w:tab w:val="clear" w:pos="8306"/>
              </w:tabs>
              <w:jc w:val="center"/>
              <w:rPr>
                <w:rFonts w:ascii="Arial" w:hAnsi="Arial" w:cs="Arial"/>
                <w:lang w:val="en-GB"/>
              </w:rPr>
            </w:pPr>
            <w:r w:rsidRPr="00BE2794">
              <w:rPr>
                <w:rFonts w:ascii="Arial" w:hAnsi="Arial" w:cs="Arial"/>
                <w:lang w:val="en-GB"/>
              </w:rPr>
              <w:t>……………………………….</w:t>
            </w:r>
          </w:p>
          <w:p w14:paraId="22DDBA68" w14:textId="77777777" w:rsidR="00A952B4" w:rsidRPr="00BE2794" w:rsidRDefault="00A952B4">
            <w:pPr>
              <w:pStyle w:val="Footer"/>
              <w:tabs>
                <w:tab w:val="clear" w:pos="4153"/>
                <w:tab w:val="clear" w:pos="8306"/>
              </w:tabs>
              <w:jc w:val="center"/>
              <w:rPr>
                <w:rFonts w:ascii="Arial" w:hAnsi="Arial" w:cs="Arial"/>
                <w:lang w:val="en-GB"/>
              </w:rPr>
            </w:pPr>
            <w:r w:rsidRPr="00BE2794">
              <w:rPr>
                <w:rFonts w:ascii="Arial" w:hAnsi="Arial" w:cs="Arial"/>
                <w:lang w:val="en-GB"/>
              </w:rPr>
              <w:t>Client</w:t>
            </w:r>
          </w:p>
        </w:tc>
        <w:tc>
          <w:tcPr>
            <w:tcW w:w="4809" w:type="dxa"/>
            <w:tcBorders>
              <w:top w:val="nil"/>
              <w:left w:val="nil"/>
              <w:bottom w:val="nil"/>
              <w:right w:val="nil"/>
            </w:tcBorders>
          </w:tcPr>
          <w:p w14:paraId="2F44EA3E" w14:textId="77777777" w:rsidR="00A952B4" w:rsidRPr="00BE2794" w:rsidRDefault="00A952B4">
            <w:pPr>
              <w:pStyle w:val="Footer"/>
              <w:tabs>
                <w:tab w:val="clear" w:pos="4153"/>
                <w:tab w:val="clear" w:pos="8306"/>
              </w:tabs>
              <w:jc w:val="center"/>
              <w:rPr>
                <w:rFonts w:ascii="Arial" w:hAnsi="Arial" w:cs="Arial"/>
                <w:lang w:val="en-GB"/>
              </w:rPr>
            </w:pPr>
            <w:r w:rsidRPr="00BE2794">
              <w:rPr>
                <w:rFonts w:ascii="Arial" w:hAnsi="Arial" w:cs="Arial"/>
                <w:lang w:val="en-GB"/>
              </w:rPr>
              <w:t>…………………………….</w:t>
            </w:r>
          </w:p>
          <w:p w14:paraId="01DB2ACA" w14:textId="77777777" w:rsidR="00A952B4" w:rsidRPr="00BE2794" w:rsidRDefault="00A952B4">
            <w:pPr>
              <w:pStyle w:val="Footer"/>
              <w:tabs>
                <w:tab w:val="clear" w:pos="4153"/>
                <w:tab w:val="clear" w:pos="8306"/>
              </w:tabs>
              <w:jc w:val="center"/>
              <w:rPr>
                <w:rFonts w:ascii="Arial" w:hAnsi="Arial" w:cs="Arial"/>
                <w:color w:val="000000"/>
                <w:lang w:val="en-GB"/>
              </w:rPr>
            </w:pPr>
            <w:r w:rsidRPr="00BE2794">
              <w:rPr>
                <w:rFonts w:ascii="Arial" w:hAnsi="Arial" w:cs="Arial"/>
                <w:lang w:val="en-GB"/>
              </w:rPr>
              <w:t xml:space="preserve">UniCredit Bank Hungary </w:t>
            </w:r>
            <w:proofErr w:type="spellStart"/>
            <w:r w:rsidRPr="00BE2794">
              <w:rPr>
                <w:rFonts w:ascii="Arial" w:hAnsi="Arial" w:cs="Arial"/>
                <w:lang w:val="en-GB"/>
              </w:rPr>
              <w:t>Zrt</w:t>
            </w:r>
            <w:proofErr w:type="spellEnd"/>
            <w:r w:rsidRPr="00BE2794">
              <w:rPr>
                <w:rFonts w:ascii="Arial" w:hAnsi="Arial" w:cs="Arial"/>
                <w:lang w:val="en-GB"/>
              </w:rPr>
              <w:t>.</w:t>
            </w:r>
          </w:p>
        </w:tc>
      </w:tr>
    </w:tbl>
    <w:p w14:paraId="0D5226D8" w14:textId="4167B697" w:rsidR="00A952B4" w:rsidRPr="006A1297" w:rsidRDefault="00A952B4" w:rsidP="00CD66EB">
      <w:pPr>
        <w:pStyle w:val="Header"/>
        <w:tabs>
          <w:tab w:val="clear" w:pos="4153"/>
          <w:tab w:val="clear" w:pos="8306"/>
        </w:tabs>
        <w:rPr>
          <w:rFonts w:ascii="Arial" w:hAnsi="Arial" w:cs="Arial"/>
          <w:lang w:val="en-GB"/>
        </w:rPr>
      </w:pPr>
      <w:r w:rsidRPr="006A1297">
        <w:rPr>
          <w:rFonts w:ascii="Arial" w:hAnsi="Arial" w:cs="Arial"/>
          <w:lang w:val="en-GB"/>
        </w:rPr>
        <w:br w:type="page"/>
      </w:r>
      <w:r w:rsidRPr="006A1297">
        <w:rPr>
          <w:rFonts w:ascii="Arial" w:hAnsi="Arial" w:cs="Arial"/>
          <w:lang w:val="en-GB"/>
        </w:rPr>
        <w:lastRenderedPageBreak/>
        <w:t xml:space="preserve">The Client’s declaration on the use of the NYESZ-R mark on the </w:t>
      </w:r>
      <w:r w:rsidR="00570D97">
        <w:rPr>
          <w:rFonts w:ascii="Arial" w:hAnsi="Arial" w:cs="Arial"/>
          <w:lang w:val="en-GB"/>
        </w:rPr>
        <w:t>Pension</w:t>
      </w:r>
      <w:r w:rsidRPr="006A1297">
        <w:rPr>
          <w:rFonts w:ascii="Arial" w:hAnsi="Arial" w:cs="Arial"/>
          <w:lang w:val="en-GB"/>
        </w:rPr>
        <w:t xml:space="preserve"> Savings Account</w:t>
      </w:r>
    </w:p>
    <w:p w14:paraId="23A8ECC2" w14:textId="77777777" w:rsidR="00A952B4" w:rsidRPr="006A1297" w:rsidRDefault="00A952B4">
      <w:pPr>
        <w:pStyle w:val="Header"/>
        <w:tabs>
          <w:tab w:val="clear" w:pos="4153"/>
          <w:tab w:val="clear" w:pos="8306"/>
        </w:tabs>
        <w:rPr>
          <w:rFonts w:ascii="Arial" w:hAnsi="Arial" w:cs="Arial"/>
          <w:lang w:val="en-GB"/>
        </w:rPr>
      </w:pPr>
    </w:p>
    <w:p w14:paraId="228FA279" w14:textId="1FDF6758" w:rsidR="00A952B4" w:rsidRPr="006A1297" w:rsidRDefault="00A952B4">
      <w:pPr>
        <w:pStyle w:val="Header"/>
        <w:tabs>
          <w:tab w:val="clear" w:pos="4153"/>
          <w:tab w:val="clear" w:pos="8306"/>
        </w:tabs>
        <w:rPr>
          <w:rFonts w:ascii="Arial" w:hAnsi="Arial" w:cs="Arial"/>
          <w:color w:val="000000"/>
          <w:lang w:val="en-GB"/>
        </w:rPr>
      </w:pPr>
      <w:r w:rsidRPr="006A1297">
        <w:rPr>
          <w:rFonts w:ascii="Arial" w:hAnsi="Arial" w:cs="Arial"/>
          <w:lang w:val="en-GB"/>
        </w:rPr>
        <w:t xml:space="preserve">I declare that I wish to mark the </w:t>
      </w:r>
      <w:r w:rsidR="00570D97">
        <w:rPr>
          <w:rFonts w:ascii="Arial" w:hAnsi="Arial" w:cs="Arial"/>
          <w:lang w:val="en-GB"/>
        </w:rPr>
        <w:t>Pension</w:t>
      </w:r>
      <w:r w:rsidRPr="006A1297">
        <w:rPr>
          <w:rFonts w:ascii="Arial" w:hAnsi="Arial" w:cs="Arial"/>
          <w:lang w:val="en-GB"/>
        </w:rPr>
        <w:t xml:space="preserve"> Savings Accounts specified in Sections I and II of the above Agreement with the “NYESZ-R” distinguishing mark.</w:t>
      </w:r>
    </w:p>
    <w:p w14:paraId="7B58C72F" w14:textId="77777777" w:rsidR="00A952B4" w:rsidRPr="006A1297" w:rsidRDefault="00A952B4">
      <w:pPr>
        <w:pStyle w:val="Header"/>
        <w:tabs>
          <w:tab w:val="clear" w:pos="4153"/>
          <w:tab w:val="clear" w:pos="8306"/>
        </w:tabs>
        <w:rPr>
          <w:rFonts w:ascii="Arial" w:hAnsi="Arial" w:cs="Arial"/>
          <w:color w:val="000000"/>
          <w:lang w:val="en-GB"/>
        </w:rPr>
      </w:pPr>
      <w:r w:rsidRPr="006A1297">
        <w:rPr>
          <w:rFonts w:ascii="Arial" w:hAnsi="Arial" w:cs="Arial"/>
          <w:color w:val="000000"/>
          <w:lang w:val="en-GB"/>
        </w:rPr>
        <w:t>I hereby acknowledge that the Bank will notify the public tax authority of the declaration on designating a NYESZ-R account.</w:t>
      </w:r>
    </w:p>
    <w:p w14:paraId="17DE3E01" w14:textId="38AA6218" w:rsidR="00A952B4" w:rsidRPr="006A1297" w:rsidRDefault="00A952B4" w:rsidP="00715D78">
      <w:pPr>
        <w:jc w:val="both"/>
        <w:outlineLvl w:val="0"/>
        <w:rPr>
          <w:rFonts w:ascii="Arial" w:hAnsi="Arial" w:cs="Arial"/>
          <w:lang w:val="en-GB"/>
        </w:rPr>
      </w:pPr>
      <w:r w:rsidRPr="006A1297">
        <w:rPr>
          <w:rFonts w:ascii="Arial" w:hAnsi="Arial" w:cs="Arial"/>
          <w:lang w:val="en-GB"/>
        </w:rPr>
        <w:t>Furthermore</w:t>
      </w:r>
      <w:r w:rsidR="001A206D">
        <w:rPr>
          <w:rFonts w:ascii="Arial" w:hAnsi="Arial" w:cs="Arial"/>
          <w:lang w:val="en-GB"/>
        </w:rPr>
        <w:t>,</w:t>
      </w:r>
      <w:r w:rsidRPr="006A1297">
        <w:rPr>
          <w:rFonts w:ascii="Arial" w:hAnsi="Arial" w:cs="Arial"/>
          <w:lang w:val="en-GB"/>
        </w:rPr>
        <w:t xml:space="preserve"> I understand that based on Section 44/B of the </w:t>
      </w:r>
      <w:proofErr w:type="spellStart"/>
      <w:r w:rsidRPr="006A1297">
        <w:rPr>
          <w:rFonts w:ascii="Arial" w:hAnsi="Arial" w:cs="Arial"/>
          <w:lang w:val="en-GB"/>
        </w:rPr>
        <w:t>Szja</w:t>
      </w:r>
      <w:proofErr w:type="spellEnd"/>
      <w:r w:rsidRPr="006A1297">
        <w:rPr>
          <w:rFonts w:ascii="Arial" w:hAnsi="Arial" w:cs="Arial"/>
          <w:lang w:val="en-GB"/>
        </w:rPr>
        <w:t xml:space="preserve"> Act </w:t>
      </w:r>
    </w:p>
    <w:p w14:paraId="43FD5D71" w14:textId="3E9DE0FB" w:rsidR="00A952B4" w:rsidRPr="006A1297" w:rsidRDefault="00A952B4">
      <w:pPr>
        <w:jc w:val="both"/>
        <w:rPr>
          <w:rFonts w:ascii="Arial" w:hAnsi="Arial" w:cs="Arial"/>
          <w:lang w:val="en-GB"/>
        </w:rPr>
      </w:pPr>
      <w:r w:rsidRPr="006A1297">
        <w:rPr>
          <w:rFonts w:ascii="Arial" w:hAnsi="Arial" w:cs="Arial"/>
          <w:lang w:val="en-GB"/>
        </w:rPr>
        <w:t xml:space="preserve">- if a private person has concurrently multiple valid agreements for the administration of </w:t>
      </w:r>
      <w:r w:rsidR="00570D97">
        <w:rPr>
          <w:rFonts w:ascii="Arial" w:hAnsi="Arial" w:cs="Arial"/>
          <w:lang w:val="en-GB"/>
        </w:rPr>
        <w:t>pension</w:t>
      </w:r>
      <w:r w:rsidRPr="006A1297">
        <w:rPr>
          <w:rFonts w:ascii="Arial" w:hAnsi="Arial" w:cs="Arial"/>
          <w:lang w:val="en-GB"/>
        </w:rPr>
        <w:t xml:space="preserve"> savings accounts, for the purpose of the </w:t>
      </w:r>
      <w:proofErr w:type="spellStart"/>
      <w:r w:rsidRPr="006A1297">
        <w:rPr>
          <w:rFonts w:ascii="Arial" w:hAnsi="Arial" w:cs="Arial"/>
          <w:lang w:val="en-GB"/>
        </w:rPr>
        <w:t>Szja</w:t>
      </w:r>
      <w:proofErr w:type="spellEnd"/>
      <w:r w:rsidRPr="006A1297">
        <w:rPr>
          <w:rFonts w:ascii="Arial" w:hAnsi="Arial" w:cs="Arial"/>
          <w:lang w:val="en-GB"/>
        </w:rPr>
        <w:t xml:space="preserve"> act only one marked </w:t>
      </w:r>
      <w:r w:rsidR="00570D97">
        <w:rPr>
          <w:rFonts w:ascii="Arial" w:hAnsi="Arial" w:cs="Arial"/>
          <w:lang w:val="en-GB"/>
        </w:rPr>
        <w:t>pension</w:t>
      </w:r>
      <w:r w:rsidRPr="006A1297">
        <w:rPr>
          <w:rFonts w:ascii="Arial" w:hAnsi="Arial" w:cs="Arial"/>
          <w:lang w:val="en-GB"/>
        </w:rPr>
        <w:t xml:space="preserve"> savings accounts - those reported first with a declaration - shall qualify as </w:t>
      </w:r>
      <w:r w:rsidR="00570D97">
        <w:rPr>
          <w:rFonts w:ascii="Arial" w:hAnsi="Arial" w:cs="Arial"/>
          <w:lang w:val="en-GB"/>
        </w:rPr>
        <w:t>pension</w:t>
      </w:r>
      <w:r w:rsidRPr="006A1297">
        <w:rPr>
          <w:rFonts w:ascii="Arial" w:hAnsi="Arial" w:cs="Arial"/>
          <w:lang w:val="en-GB"/>
        </w:rPr>
        <w:t xml:space="preserve"> savings account </w:t>
      </w:r>
      <w:proofErr w:type="gramStart"/>
      <w:r w:rsidRPr="006A1297">
        <w:rPr>
          <w:rFonts w:ascii="Arial" w:hAnsi="Arial" w:cs="Arial"/>
          <w:lang w:val="en-GB"/>
        </w:rPr>
        <w:t>as long as</w:t>
      </w:r>
      <w:proofErr w:type="gramEnd"/>
      <w:r w:rsidRPr="006A1297">
        <w:rPr>
          <w:rFonts w:ascii="Arial" w:hAnsi="Arial" w:cs="Arial"/>
          <w:lang w:val="en-GB"/>
        </w:rPr>
        <w:t xml:space="preserve"> the agreement concluded for the administration of the thus marked account exists. In the case of multiple declarations submitted at the same time none of them shall be valid.</w:t>
      </w:r>
    </w:p>
    <w:p w14:paraId="69F690EA" w14:textId="77777777" w:rsidR="00A952B4" w:rsidRPr="006A1297" w:rsidRDefault="00A952B4">
      <w:pPr>
        <w:pStyle w:val="Footer"/>
        <w:tabs>
          <w:tab w:val="clear" w:pos="4153"/>
          <w:tab w:val="clear" w:pos="8306"/>
        </w:tabs>
        <w:rPr>
          <w:rFonts w:ascii="Arial" w:hAnsi="Arial" w:cs="Arial"/>
        </w:rPr>
      </w:pPr>
      <w:r w:rsidRPr="006A1297">
        <w:rPr>
          <w:rFonts w:ascii="Arial" w:hAnsi="Arial" w:cs="Arial"/>
        </w:rPr>
        <w:t>- if concerning an account marked with NYESZ-R the tax authority determines the unlawful use of the mark, I must pay the tax arrears due to this and any default interest on the basis of the decision of the tax authority.</w:t>
      </w:r>
    </w:p>
    <w:p w14:paraId="33224B2F" w14:textId="77777777" w:rsidR="00A952B4" w:rsidRPr="006A1297" w:rsidRDefault="00A952B4">
      <w:pPr>
        <w:pStyle w:val="Footer"/>
        <w:tabs>
          <w:tab w:val="clear" w:pos="4153"/>
          <w:tab w:val="clear" w:pos="8306"/>
        </w:tabs>
        <w:rPr>
          <w:rFonts w:ascii="Arial" w:hAnsi="Arial" w:cs="Arial"/>
        </w:rPr>
      </w:pPr>
    </w:p>
    <w:p w14:paraId="45AB0C50" w14:textId="77777777" w:rsidR="00A952B4" w:rsidRPr="006A1297" w:rsidRDefault="00A952B4">
      <w:pPr>
        <w:pStyle w:val="Footer"/>
        <w:tabs>
          <w:tab w:val="clear" w:pos="4153"/>
          <w:tab w:val="clear" w:pos="8306"/>
        </w:tabs>
        <w:rPr>
          <w:rFonts w:ascii="Arial" w:hAnsi="Arial" w:cs="Arial"/>
        </w:rPr>
      </w:pPr>
    </w:p>
    <w:p w14:paraId="4E04226B" w14:textId="77777777" w:rsidR="00A952B4" w:rsidRPr="006A1297" w:rsidRDefault="00A952B4">
      <w:pPr>
        <w:pStyle w:val="Footer"/>
        <w:tabs>
          <w:tab w:val="clear" w:pos="4153"/>
          <w:tab w:val="clear" w:pos="8306"/>
        </w:tabs>
        <w:rPr>
          <w:rFonts w:ascii="Arial" w:hAnsi="Arial" w:cs="Arial"/>
        </w:rPr>
      </w:pPr>
    </w:p>
    <w:p w14:paraId="0FA9360B" w14:textId="77777777" w:rsidR="00A952B4" w:rsidRPr="006A1297" w:rsidRDefault="00A952B4">
      <w:pPr>
        <w:pStyle w:val="Footer"/>
        <w:tabs>
          <w:tab w:val="clear" w:pos="4153"/>
          <w:tab w:val="clear" w:pos="8306"/>
        </w:tabs>
        <w:ind w:left="5712"/>
        <w:rPr>
          <w:rFonts w:ascii="Arial" w:hAnsi="Arial" w:cs="Arial"/>
        </w:rPr>
      </w:pPr>
      <w:r w:rsidRPr="006A1297">
        <w:rPr>
          <w:rFonts w:ascii="Arial" w:hAnsi="Arial" w:cs="Arial"/>
        </w:rPr>
        <w:t>.............................................................</w:t>
      </w:r>
    </w:p>
    <w:p w14:paraId="698B0F4C" w14:textId="77777777" w:rsidR="00A952B4" w:rsidRPr="006A1297" w:rsidRDefault="00A952B4" w:rsidP="00715D78">
      <w:pPr>
        <w:pStyle w:val="Footer"/>
        <w:tabs>
          <w:tab w:val="clear" w:pos="4153"/>
          <w:tab w:val="clear" w:pos="8306"/>
        </w:tabs>
        <w:ind w:left="6783"/>
        <w:outlineLvl w:val="0"/>
        <w:rPr>
          <w:rFonts w:ascii="Arial" w:hAnsi="Arial" w:cs="Arial"/>
          <w:i/>
          <w:iCs/>
        </w:rPr>
      </w:pPr>
      <w:r w:rsidRPr="006A1297">
        <w:rPr>
          <w:rFonts w:ascii="Arial" w:hAnsi="Arial" w:cs="Arial"/>
        </w:rPr>
        <w:t>Client</w:t>
      </w:r>
    </w:p>
    <w:p w14:paraId="16D6C582" w14:textId="77777777" w:rsidR="00A952B4" w:rsidRPr="006A1297" w:rsidRDefault="00A952B4">
      <w:pPr>
        <w:pStyle w:val="Footer"/>
        <w:tabs>
          <w:tab w:val="clear" w:pos="4153"/>
          <w:tab w:val="clear" w:pos="8306"/>
        </w:tabs>
        <w:rPr>
          <w:rFonts w:ascii="Arial" w:hAnsi="Arial" w:cs="Arial"/>
          <w:i/>
          <w:iCs/>
        </w:rPr>
      </w:pPr>
    </w:p>
    <w:p w14:paraId="4863B91C" w14:textId="77777777" w:rsidR="00A952B4" w:rsidRPr="006A1297" w:rsidRDefault="00A952B4">
      <w:pPr>
        <w:pStyle w:val="Footer"/>
        <w:tabs>
          <w:tab w:val="clear" w:pos="4153"/>
          <w:tab w:val="clear" w:pos="8306"/>
        </w:tabs>
        <w:rPr>
          <w:rFonts w:ascii="Arial" w:hAnsi="Arial" w:cs="Arial"/>
          <w:i/>
          <w:iCs/>
        </w:rPr>
      </w:pPr>
    </w:p>
    <w:p w14:paraId="34C13972" w14:textId="77777777" w:rsidR="00A952B4" w:rsidRPr="006A1297" w:rsidRDefault="00A952B4">
      <w:pPr>
        <w:pStyle w:val="Footer"/>
        <w:tabs>
          <w:tab w:val="clear" w:pos="4153"/>
          <w:tab w:val="clear" w:pos="8306"/>
        </w:tabs>
        <w:rPr>
          <w:rFonts w:ascii="Arial" w:hAnsi="Arial" w:cs="Arial"/>
        </w:rPr>
      </w:pPr>
      <w:r w:rsidRPr="006A1297">
        <w:rPr>
          <w:rFonts w:ascii="Arial" w:hAnsi="Arial" w:cs="Arial"/>
        </w:rPr>
        <w:t>Annexes:</w:t>
      </w:r>
    </w:p>
    <w:p w14:paraId="73C58ED2" w14:textId="77777777" w:rsidR="00A952B4" w:rsidRDefault="00A952B4">
      <w:pPr>
        <w:pStyle w:val="Footer"/>
        <w:tabs>
          <w:tab w:val="clear" w:pos="4153"/>
          <w:tab w:val="clear" w:pos="8306"/>
        </w:tabs>
        <w:rPr>
          <w:rFonts w:ascii="Arial" w:hAnsi="Arial" w:cs="Arial"/>
        </w:rPr>
      </w:pPr>
      <w:r w:rsidRPr="006A1297">
        <w:rPr>
          <w:rFonts w:ascii="Arial" w:hAnsi="Arial" w:cs="Arial"/>
        </w:rPr>
        <w:t>Annex 1 -</w:t>
      </w:r>
      <w:r w:rsidR="005961DC">
        <w:rPr>
          <w:rFonts w:ascii="Arial" w:hAnsi="Arial" w:cs="Arial"/>
        </w:rPr>
        <w:t xml:space="preserve"> </w:t>
      </w:r>
      <w:r w:rsidRPr="006A1297">
        <w:rPr>
          <w:rFonts w:ascii="Arial" w:hAnsi="Arial" w:cs="Arial"/>
        </w:rPr>
        <w:t>Scope of investment instruments being subject matter of the Agreement</w:t>
      </w:r>
    </w:p>
    <w:p w14:paraId="7D050845" w14:textId="77777777" w:rsidR="00143D22" w:rsidRPr="006A1297" w:rsidRDefault="00143D22">
      <w:pPr>
        <w:pStyle w:val="Footer"/>
        <w:tabs>
          <w:tab w:val="clear" w:pos="4153"/>
          <w:tab w:val="clear" w:pos="8306"/>
        </w:tabs>
        <w:rPr>
          <w:rFonts w:ascii="Arial" w:hAnsi="Arial" w:cs="Arial"/>
        </w:rPr>
      </w:pPr>
      <w:r w:rsidRPr="006A1297">
        <w:rPr>
          <w:rFonts w:ascii="Arial" w:hAnsi="Arial" w:cs="Arial"/>
        </w:rPr>
        <w:t xml:space="preserve">Annex </w:t>
      </w:r>
      <w:r>
        <w:rPr>
          <w:rFonts w:ascii="Arial" w:hAnsi="Arial" w:cs="Arial"/>
        </w:rPr>
        <w:t xml:space="preserve">2 - </w:t>
      </w:r>
      <w:r w:rsidRPr="00143D22">
        <w:rPr>
          <w:rFonts w:ascii="Arial" w:hAnsi="Arial" w:cs="Arial"/>
        </w:rPr>
        <w:t>Information for deposit holders</w:t>
      </w:r>
    </w:p>
    <w:p w14:paraId="451B342E" w14:textId="77777777" w:rsidR="00A952B4" w:rsidRPr="006A1297" w:rsidRDefault="00A952B4" w:rsidP="00715D78">
      <w:pPr>
        <w:pStyle w:val="Footer"/>
        <w:tabs>
          <w:tab w:val="clear" w:pos="4153"/>
          <w:tab w:val="clear" w:pos="8306"/>
        </w:tabs>
        <w:outlineLvl w:val="0"/>
        <w:rPr>
          <w:rFonts w:ascii="Arial" w:hAnsi="Arial" w:cs="Arial"/>
          <w:bCs/>
        </w:rPr>
      </w:pPr>
      <w:r w:rsidRPr="006A1297">
        <w:rPr>
          <w:rFonts w:ascii="Arial" w:hAnsi="Arial" w:cs="Arial"/>
        </w:rPr>
        <w:br w:type="page"/>
      </w:r>
      <w:r w:rsidRPr="006A1297">
        <w:rPr>
          <w:rFonts w:ascii="Arial" w:hAnsi="Arial" w:cs="Arial"/>
          <w:b/>
          <w:bCs/>
        </w:rPr>
        <w:lastRenderedPageBreak/>
        <w:t>Annex 1</w:t>
      </w:r>
    </w:p>
    <w:p w14:paraId="3FAD9EF4" w14:textId="77777777" w:rsidR="00A952B4" w:rsidRPr="006A1297" w:rsidRDefault="00A952B4">
      <w:pPr>
        <w:pStyle w:val="Footer"/>
        <w:tabs>
          <w:tab w:val="clear" w:pos="4153"/>
          <w:tab w:val="clear" w:pos="8306"/>
        </w:tabs>
        <w:rPr>
          <w:rFonts w:ascii="Arial" w:hAnsi="Arial" w:cs="Arial"/>
          <w:bCs/>
        </w:rPr>
      </w:pPr>
    </w:p>
    <w:p w14:paraId="02B7D31B" w14:textId="77777777" w:rsidR="00A952B4" w:rsidRPr="006A1297" w:rsidRDefault="00A952B4">
      <w:pPr>
        <w:pStyle w:val="Footer"/>
        <w:tabs>
          <w:tab w:val="clear" w:pos="4153"/>
          <w:tab w:val="clear" w:pos="8306"/>
        </w:tabs>
        <w:rPr>
          <w:rFonts w:ascii="Arial" w:hAnsi="Arial" w:cs="Arial"/>
          <w:bCs/>
        </w:rPr>
      </w:pPr>
    </w:p>
    <w:p w14:paraId="612A6BD4" w14:textId="77777777" w:rsidR="00A952B4" w:rsidRPr="006A1297" w:rsidRDefault="00A952B4" w:rsidP="00715D78">
      <w:pPr>
        <w:pStyle w:val="Footer"/>
        <w:tabs>
          <w:tab w:val="clear" w:pos="4153"/>
          <w:tab w:val="clear" w:pos="8306"/>
        </w:tabs>
        <w:jc w:val="center"/>
        <w:outlineLvl w:val="0"/>
        <w:rPr>
          <w:rFonts w:ascii="Arial" w:hAnsi="Arial" w:cs="Arial"/>
        </w:rPr>
      </w:pPr>
      <w:r w:rsidRPr="006A1297">
        <w:rPr>
          <w:rFonts w:ascii="Arial" w:hAnsi="Arial" w:cs="Arial"/>
          <w:b/>
          <w:bCs/>
        </w:rPr>
        <w:t>List of investment instruments</w:t>
      </w:r>
    </w:p>
    <w:p w14:paraId="337786A0" w14:textId="77777777" w:rsidR="00A952B4" w:rsidRPr="006A1297" w:rsidRDefault="00A952B4">
      <w:pPr>
        <w:pStyle w:val="Footer"/>
        <w:tabs>
          <w:tab w:val="clear" w:pos="4153"/>
          <w:tab w:val="clear" w:pos="8306"/>
        </w:tabs>
        <w:jc w:val="center"/>
        <w:rPr>
          <w:rFonts w:ascii="Arial" w:hAnsi="Arial" w:cs="Arial"/>
        </w:rPr>
      </w:pPr>
    </w:p>
    <w:p w14:paraId="0B74741B" w14:textId="77777777" w:rsidR="00A952B4" w:rsidRPr="006A1297" w:rsidRDefault="00A952B4">
      <w:pPr>
        <w:pStyle w:val="Footer"/>
        <w:tabs>
          <w:tab w:val="clear" w:pos="4153"/>
          <w:tab w:val="clear" w:pos="8306"/>
        </w:tabs>
        <w:jc w:val="center"/>
        <w:rPr>
          <w:rFonts w:ascii="Arial" w:hAnsi="Arial" w:cs="Arial"/>
        </w:rPr>
      </w:pPr>
    </w:p>
    <w:p w14:paraId="0D96EA55" w14:textId="49CCC544" w:rsidR="00A952B4" w:rsidRPr="006A1297" w:rsidRDefault="00A952B4">
      <w:pPr>
        <w:pStyle w:val="Footer"/>
        <w:tabs>
          <w:tab w:val="clear" w:pos="4153"/>
          <w:tab w:val="clear" w:pos="8306"/>
        </w:tabs>
        <w:jc w:val="both"/>
        <w:rPr>
          <w:rFonts w:ascii="Arial" w:hAnsi="Arial" w:cs="Arial"/>
          <w:color w:val="000000"/>
        </w:rPr>
      </w:pPr>
      <w:r w:rsidRPr="006A1297">
        <w:rPr>
          <w:rFonts w:ascii="Arial" w:hAnsi="Arial" w:cs="Arial"/>
        </w:rPr>
        <w:t xml:space="preserve">Based on the </w:t>
      </w:r>
      <w:r w:rsidR="00570D97">
        <w:rPr>
          <w:rFonts w:ascii="Arial" w:hAnsi="Arial" w:cs="Arial"/>
        </w:rPr>
        <w:t>Pension</w:t>
      </w:r>
      <w:r w:rsidRPr="006A1297">
        <w:rPr>
          <w:rFonts w:ascii="Arial" w:hAnsi="Arial" w:cs="Arial"/>
        </w:rPr>
        <w:t xml:space="preserve"> Savings Account Agreement the UniCredit Bank Hungary Zrt. accepts orders exclusively for the following investment instruments:</w:t>
      </w:r>
    </w:p>
    <w:p w14:paraId="71A86D08" w14:textId="77777777" w:rsidR="00A952B4" w:rsidRPr="006A1297" w:rsidRDefault="00A952B4">
      <w:pPr>
        <w:pStyle w:val="Footer"/>
        <w:tabs>
          <w:tab w:val="clear" w:pos="4153"/>
          <w:tab w:val="clear" w:pos="8306"/>
        </w:tabs>
        <w:rPr>
          <w:rFonts w:ascii="Arial" w:hAnsi="Arial" w:cs="Arial"/>
        </w:rPr>
      </w:pPr>
    </w:p>
    <w:p w14:paraId="656BC7E9" w14:textId="77777777" w:rsidR="00A952B4" w:rsidRPr="006A1297" w:rsidRDefault="00A952B4">
      <w:pPr>
        <w:pStyle w:val="Footer"/>
        <w:numPr>
          <w:ilvl w:val="0"/>
          <w:numId w:val="20"/>
        </w:numPr>
        <w:tabs>
          <w:tab w:val="clear" w:pos="4153"/>
          <w:tab w:val="clear" w:pos="8306"/>
        </w:tabs>
        <w:rPr>
          <w:rFonts w:ascii="Arial" w:hAnsi="Arial" w:cs="Arial"/>
        </w:rPr>
      </w:pPr>
      <w:r w:rsidRPr="006A1297">
        <w:rPr>
          <w:rFonts w:ascii="Arial" w:hAnsi="Arial" w:cs="Arial"/>
        </w:rPr>
        <w:t>government securities</w:t>
      </w:r>
    </w:p>
    <w:p w14:paraId="72E12728" w14:textId="77777777" w:rsidR="00A952B4" w:rsidRPr="006A1297" w:rsidRDefault="00A952B4">
      <w:pPr>
        <w:pStyle w:val="Footer"/>
        <w:numPr>
          <w:ilvl w:val="0"/>
          <w:numId w:val="20"/>
        </w:numPr>
        <w:tabs>
          <w:tab w:val="clear" w:pos="4153"/>
          <w:tab w:val="clear" w:pos="8306"/>
        </w:tabs>
        <w:rPr>
          <w:rFonts w:ascii="Arial" w:hAnsi="Arial" w:cs="Arial"/>
        </w:rPr>
      </w:pPr>
      <w:r w:rsidRPr="006A1297">
        <w:rPr>
          <w:rFonts w:ascii="Arial" w:hAnsi="Arial" w:cs="Arial"/>
        </w:rPr>
        <w:t>mortgage bonds</w:t>
      </w:r>
    </w:p>
    <w:p w14:paraId="42A830DA" w14:textId="77777777" w:rsidR="00A952B4" w:rsidRPr="006A1297" w:rsidRDefault="00A952B4">
      <w:pPr>
        <w:pStyle w:val="Footer"/>
        <w:numPr>
          <w:ilvl w:val="0"/>
          <w:numId w:val="20"/>
        </w:numPr>
        <w:tabs>
          <w:tab w:val="clear" w:pos="4153"/>
          <w:tab w:val="clear" w:pos="8306"/>
        </w:tabs>
        <w:rPr>
          <w:rFonts w:ascii="Arial" w:hAnsi="Arial" w:cs="Arial"/>
        </w:rPr>
      </w:pPr>
      <w:r w:rsidRPr="006A1297">
        <w:rPr>
          <w:rFonts w:ascii="Arial" w:hAnsi="Arial" w:cs="Arial"/>
        </w:rPr>
        <w:t xml:space="preserve">closed-end funds traded by the Bank (capital guaranteed funds) </w:t>
      </w:r>
    </w:p>
    <w:p w14:paraId="4966F6D5" w14:textId="77777777" w:rsidR="00A952B4" w:rsidRPr="006A1297" w:rsidRDefault="00A952B4">
      <w:pPr>
        <w:pStyle w:val="Footer"/>
        <w:numPr>
          <w:ilvl w:val="0"/>
          <w:numId w:val="20"/>
        </w:numPr>
        <w:tabs>
          <w:tab w:val="clear" w:pos="4153"/>
          <w:tab w:val="clear" w:pos="8306"/>
        </w:tabs>
        <w:rPr>
          <w:rFonts w:ascii="Arial" w:hAnsi="Arial" w:cs="Arial"/>
        </w:rPr>
      </w:pPr>
      <w:r w:rsidRPr="006A1297">
        <w:rPr>
          <w:rFonts w:ascii="Arial" w:hAnsi="Arial" w:cs="Arial"/>
        </w:rPr>
        <w:t xml:space="preserve">open-end funds traded by the Bank, funds denominated in HUF  </w:t>
      </w:r>
    </w:p>
    <w:p w14:paraId="0E1828D7" w14:textId="77777777" w:rsidR="00A952B4" w:rsidRPr="006A1297" w:rsidRDefault="00A952B4">
      <w:pPr>
        <w:pStyle w:val="Footer"/>
        <w:numPr>
          <w:ilvl w:val="0"/>
          <w:numId w:val="20"/>
        </w:numPr>
        <w:tabs>
          <w:tab w:val="clear" w:pos="4153"/>
          <w:tab w:val="clear" w:pos="8306"/>
        </w:tabs>
        <w:rPr>
          <w:rFonts w:ascii="Arial" w:hAnsi="Arial" w:cs="Arial"/>
        </w:rPr>
      </w:pPr>
      <w:r w:rsidRPr="006A1297">
        <w:rPr>
          <w:rFonts w:ascii="Arial" w:hAnsi="Arial" w:cs="Arial"/>
        </w:rPr>
        <w:t>shares listed on the Budapest Stock Exchange</w:t>
      </w:r>
    </w:p>
    <w:p w14:paraId="4FE38351" w14:textId="77777777" w:rsidR="00A952B4" w:rsidRPr="006A1297" w:rsidRDefault="00A952B4">
      <w:pPr>
        <w:numPr>
          <w:ilvl w:val="12"/>
          <w:numId w:val="0"/>
        </w:numPr>
        <w:autoSpaceDE w:val="0"/>
        <w:autoSpaceDN w:val="0"/>
        <w:adjustRightInd w:val="0"/>
        <w:ind w:firstLine="45"/>
        <w:jc w:val="both"/>
        <w:rPr>
          <w:rFonts w:ascii="Arial" w:hAnsi="Arial" w:cs="Arial"/>
          <w:lang w:val="en-GB"/>
        </w:rPr>
      </w:pPr>
    </w:p>
    <w:p w14:paraId="663191A4" w14:textId="77777777" w:rsidR="00A952B4" w:rsidRPr="006A1297" w:rsidRDefault="00A952B4">
      <w:pPr>
        <w:pStyle w:val="Footer"/>
        <w:tabs>
          <w:tab w:val="clear" w:pos="4153"/>
          <w:tab w:val="clear" w:pos="8306"/>
        </w:tabs>
        <w:rPr>
          <w:rFonts w:ascii="Arial" w:hAnsi="Arial" w:cs="Arial"/>
        </w:rPr>
      </w:pPr>
      <w:r w:rsidRPr="006A1297">
        <w:rPr>
          <w:rFonts w:ascii="Arial" w:hAnsi="Arial" w:cs="Arial"/>
        </w:rPr>
        <w:t>The Bank reserves the right – in the case of government bonds and mortgage bonds – to specify within the scope of its business policy the scope of available types of securities within the individual types of investment instruments.</w:t>
      </w:r>
    </w:p>
    <w:p w14:paraId="16AD2AE7" w14:textId="77777777" w:rsidR="00A952B4" w:rsidRPr="006A1297" w:rsidRDefault="00A952B4">
      <w:pPr>
        <w:pStyle w:val="Footer"/>
        <w:tabs>
          <w:tab w:val="clear" w:pos="4153"/>
          <w:tab w:val="clear" w:pos="8306"/>
        </w:tabs>
        <w:rPr>
          <w:rFonts w:ascii="Arial" w:hAnsi="Arial" w:cs="Arial"/>
        </w:rPr>
      </w:pPr>
    </w:p>
    <w:p w14:paraId="0C53B018" w14:textId="77777777" w:rsidR="00A952B4" w:rsidRPr="006A1297" w:rsidRDefault="00A952B4">
      <w:pPr>
        <w:pStyle w:val="Footer"/>
        <w:tabs>
          <w:tab w:val="clear" w:pos="4153"/>
          <w:tab w:val="clear" w:pos="8306"/>
        </w:tabs>
        <w:rPr>
          <w:rFonts w:ascii="Arial" w:hAnsi="Arial" w:cs="Arial"/>
        </w:rPr>
      </w:pPr>
    </w:p>
    <w:sectPr w:rsidR="00A952B4" w:rsidRPr="006A1297" w:rsidSect="00C04CE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253" w:bottom="993" w:left="125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FC76" w14:textId="77777777" w:rsidR="00344DDE" w:rsidRDefault="00344DDE">
      <w:r>
        <w:separator/>
      </w:r>
    </w:p>
  </w:endnote>
  <w:endnote w:type="continuationSeparator" w:id="0">
    <w:p w14:paraId="4367567A" w14:textId="77777777" w:rsidR="00344DDE" w:rsidRDefault="003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 Centennial 45 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de 128">
    <w:altName w:val="ITC Zapf Dingbats"/>
    <w:panose1 w:val="05000000000000000000"/>
    <w:charset w:val="00"/>
    <w:family w:val="auto"/>
    <w:pitch w:val="variable"/>
    <w:sig w:usb0="00000001" w:usb1="10000000" w:usb2="00000000" w:usb3="00000000" w:csb0="80000001" w:csb1="00000000"/>
  </w:font>
  <w:font w:name="H-Arial">
    <w:altName w:val="Courier New"/>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DAC7" w14:textId="77777777" w:rsidR="00A952B4" w:rsidRDefault="000E3BDB">
    <w:pPr>
      <w:pStyle w:val="Footer"/>
      <w:framePr w:wrap="around" w:vAnchor="text" w:hAnchor="margin" w:xAlign="center" w:y="1"/>
      <w:rPr>
        <w:rStyle w:val="PageNumber"/>
      </w:rPr>
    </w:pPr>
    <w:r>
      <w:rPr>
        <w:rStyle w:val="PageNumber"/>
      </w:rPr>
      <w:fldChar w:fldCharType="begin"/>
    </w:r>
    <w:r w:rsidR="001E5E77">
      <w:rPr>
        <w:rStyle w:val="PageNumber"/>
      </w:rPr>
      <w:instrText xml:space="preserve">PAGE  </w:instrText>
    </w:r>
    <w:r>
      <w:rPr>
        <w:rStyle w:val="PageNumber"/>
      </w:rPr>
      <w:fldChar w:fldCharType="end"/>
    </w:r>
  </w:p>
  <w:p w14:paraId="5641A76F" w14:textId="77777777" w:rsidR="00A952B4" w:rsidRDefault="00A9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1B63" w14:textId="77777777" w:rsidR="00A952B4" w:rsidRDefault="000E3BDB">
    <w:pPr>
      <w:pStyle w:val="Footer"/>
      <w:framePr w:wrap="around" w:vAnchor="text" w:hAnchor="margin" w:xAlign="center" w:y="1"/>
      <w:rPr>
        <w:rStyle w:val="PageNumber"/>
      </w:rPr>
    </w:pPr>
    <w:r>
      <w:rPr>
        <w:rStyle w:val="PageNumber"/>
      </w:rPr>
      <w:fldChar w:fldCharType="begin"/>
    </w:r>
    <w:r w:rsidR="001E5E77">
      <w:rPr>
        <w:rStyle w:val="PageNumber"/>
      </w:rPr>
      <w:instrText xml:space="preserve">PAGE  </w:instrText>
    </w:r>
    <w:r>
      <w:rPr>
        <w:rStyle w:val="PageNumber"/>
      </w:rPr>
      <w:fldChar w:fldCharType="separate"/>
    </w:r>
    <w:r w:rsidR="00514C4B">
      <w:rPr>
        <w:rStyle w:val="PageNumber"/>
        <w:noProof/>
      </w:rPr>
      <w:t>6</w:t>
    </w:r>
    <w:r>
      <w:rPr>
        <w:rStyle w:val="PageNumber"/>
      </w:rPr>
      <w:fldChar w:fldCharType="end"/>
    </w:r>
  </w:p>
  <w:p w14:paraId="416A6E3F" w14:textId="77777777" w:rsidR="00A952B4" w:rsidRDefault="00A952B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2724" w14:textId="77777777" w:rsidR="000E4F31" w:rsidRDefault="000E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E5E6" w14:textId="77777777" w:rsidR="00344DDE" w:rsidRDefault="00344DDE">
      <w:r>
        <w:separator/>
      </w:r>
    </w:p>
  </w:footnote>
  <w:footnote w:type="continuationSeparator" w:id="0">
    <w:p w14:paraId="2CD2B92C" w14:textId="77777777" w:rsidR="00344DDE" w:rsidRDefault="00344DDE">
      <w:r>
        <w:continuationSeparator/>
      </w:r>
    </w:p>
  </w:footnote>
  <w:footnote w:id="1">
    <w:p w14:paraId="2D45DE4D" w14:textId="4375DEA9" w:rsidR="00A952B4" w:rsidRPr="00D83ADC" w:rsidRDefault="00A952B4">
      <w:pPr>
        <w:pStyle w:val="FootnoteText"/>
        <w:rPr>
          <w:rFonts w:ascii="Arial" w:hAnsi="Arial" w:cs="Arial"/>
        </w:rPr>
      </w:pPr>
      <w:r w:rsidRPr="00D83ADC">
        <w:rPr>
          <w:rStyle w:val="FootnoteReference"/>
          <w:rFonts w:ascii="Arial" w:hAnsi="Arial" w:cs="Arial"/>
          <w:sz w:val="18"/>
        </w:rPr>
        <w:footnoteRef/>
      </w:r>
      <w:r w:rsidRPr="00D83ADC">
        <w:rPr>
          <w:rFonts w:ascii="Arial" w:hAnsi="Arial" w:cs="Arial"/>
          <w:sz w:val="18"/>
        </w:rPr>
        <w:t xml:space="preserve"> The account used for credit entries according to Section </w:t>
      </w:r>
      <w:r w:rsidR="005B2359" w:rsidRPr="00D83ADC">
        <w:rPr>
          <w:rFonts w:ascii="Arial" w:hAnsi="Arial" w:cs="Arial"/>
          <w:sz w:val="18"/>
        </w:rPr>
        <w:t xml:space="preserve">I. </w:t>
      </w:r>
      <w:r w:rsidRPr="00D83ADC">
        <w:rPr>
          <w:rFonts w:ascii="Arial" w:hAnsi="Arial" w:cs="Arial"/>
          <w:sz w:val="18"/>
        </w:rPr>
        <w:t>a)</w:t>
      </w:r>
    </w:p>
  </w:footnote>
  <w:footnote w:id="2">
    <w:p w14:paraId="6C6DF2A8" w14:textId="1BEBE239" w:rsidR="00A952B4" w:rsidRDefault="00A952B4">
      <w:pPr>
        <w:pStyle w:val="FootnoteText"/>
      </w:pPr>
      <w:r w:rsidRPr="00D83ADC">
        <w:rPr>
          <w:rStyle w:val="FootnoteReference"/>
          <w:rFonts w:ascii="Arial" w:hAnsi="Arial" w:cs="Arial"/>
          <w:sz w:val="18"/>
        </w:rPr>
        <w:footnoteRef/>
      </w:r>
      <w:r w:rsidRPr="00D83ADC">
        <w:rPr>
          <w:rFonts w:ascii="Arial" w:hAnsi="Arial" w:cs="Arial"/>
          <w:sz w:val="18"/>
        </w:rPr>
        <w:t xml:space="preserve"> The account used for credit entries according to Sections </w:t>
      </w:r>
      <w:r w:rsidR="005B2359" w:rsidRPr="00D83ADC">
        <w:rPr>
          <w:rFonts w:ascii="Arial" w:hAnsi="Arial" w:cs="Arial"/>
          <w:sz w:val="18"/>
        </w:rPr>
        <w:t xml:space="preserve">I. </w:t>
      </w:r>
      <w:r w:rsidRPr="00D83ADC">
        <w:rPr>
          <w:rFonts w:ascii="Arial" w:hAnsi="Arial" w:cs="Arial"/>
          <w:sz w:val="18"/>
        </w:rPr>
        <w:t xml:space="preserve">b), c) </w:t>
      </w:r>
      <w:r w:rsidR="005B2359" w:rsidRPr="00D83ADC">
        <w:rPr>
          <w:rFonts w:ascii="Arial" w:hAnsi="Arial" w:cs="Arial"/>
          <w:sz w:val="18"/>
        </w:rPr>
        <w:t xml:space="preserve">d) </w:t>
      </w:r>
      <w:r w:rsidRPr="00D83ADC">
        <w:rPr>
          <w:rFonts w:ascii="Arial" w:hAnsi="Arial" w:cs="Arial"/>
          <w:sz w:val="18"/>
        </w:rPr>
        <w:t>and e)</w:t>
      </w:r>
    </w:p>
  </w:footnote>
  <w:footnote w:id="3">
    <w:p w14:paraId="51030A32" w14:textId="77777777" w:rsidR="00A952B4" w:rsidRPr="00D83ADC" w:rsidRDefault="00A952B4">
      <w:pPr>
        <w:pStyle w:val="FootnoteText"/>
        <w:rPr>
          <w:rFonts w:ascii="Arial" w:hAnsi="Arial" w:cs="Arial"/>
        </w:rPr>
      </w:pPr>
      <w:r w:rsidRPr="00D83ADC">
        <w:rPr>
          <w:rStyle w:val="FootnoteReference"/>
          <w:rFonts w:ascii="Arial" w:hAnsi="Arial" w:cs="Arial"/>
          <w:sz w:val="18"/>
        </w:rPr>
        <w:footnoteRef/>
      </w:r>
      <w:r w:rsidRPr="00D83ADC">
        <w:rPr>
          <w:rFonts w:ascii="Arial" w:hAnsi="Arial" w:cs="Arial"/>
          <w:sz w:val="18"/>
        </w:rPr>
        <w:t xml:space="preserve"> To be underlined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3D07" w14:textId="77777777" w:rsidR="000E4F31" w:rsidRDefault="000E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Arial" w:hAnsi="H-Arial"/>
      </w:rPr>
      <w:id w:val="1466632305"/>
      <w:docPartObj>
        <w:docPartGallery w:val="Watermarks"/>
        <w:docPartUnique/>
      </w:docPartObj>
    </w:sdtPr>
    <w:sdtContent>
      <w:p w14:paraId="01567552" w14:textId="6BDA2B25" w:rsidR="00A952B4" w:rsidRDefault="00E23969">
        <w:pPr>
          <w:tabs>
            <w:tab w:val="center" w:pos="4678"/>
          </w:tabs>
          <w:spacing w:before="60"/>
          <w:jc w:val="center"/>
          <w:rPr>
            <w:rFonts w:ascii="H-Arial" w:hAnsi="H-Arial"/>
          </w:rPr>
        </w:pPr>
        <w:r w:rsidRPr="00E23969">
          <w:rPr>
            <w:rFonts w:ascii="H-Arial" w:hAnsi="H-Arial"/>
          </w:rPr>
          <w:pict w14:anchorId="0ED47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8502" o:spid="_x0000_s1025" type="#_x0000_t136" style="position:absolute;left:0;text-align:left;margin-left:0;margin-top:0;width:515.45pt;height:147.25pt;rotation:315;z-index:-251657216;mso-position-horizontal:center;mso-position-horizontal-relative:margin;mso-position-vertical:center;mso-position-vertical-relative:margin" o:allowincell="f" fillcolor="gray [1629]" stroked="f">
              <v:fill opacity=".5"/>
              <v:textpath style="font-family:&quot;arial&quot;;font-size:1pt" string="SAMPLE"/>
              <w10:wrap anchorx="margin" anchory="margin"/>
            </v:shape>
          </w:pict>
        </w:r>
      </w:p>
    </w:sdtContent>
  </w:sdt>
  <w:p w14:paraId="6CDF6B01" w14:textId="120FDD27" w:rsidR="00A952B4" w:rsidRDefault="001A7DF7">
    <w:pPr>
      <w:pStyle w:val="Header"/>
      <w:ind w:left="-794"/>
      <w:rPr>
        <w:rFonts w:ascii="L Centennial 45 Light" w:hAnsi="L Centennial 45 Light"/>
        <w:b/>
        <w:bCs/>
      </w:rPr>
    </w:pPr>
    <w:r>
      <w:rPr>
        <w:rFonts w:ascii="L Centennial 45 Light" w:hAnsi="L Centennial 45 Light"/>
        <w:b/>
        <w:bCs/>
        <w:noProof/>
      </w:rPr>
      <w:drawing>
        <wp:inline distT="0" distB="0" distL="0" distR="0" wp14:anchorId="5E5CE83A" wp14:editId="1FA82E95">
          <wp:extent cx="2628900"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463550"/>
                  </a:xfrm>
                  <a:prstGeom prst="rect">
                    <a:avLst/>
                  </a:prstGeom>
                  <a:noFill/>
                  <a:ln>
                    <a:noFill/>
                  </a:ln>
                </pic:spPr>
              </pic:pic>
            </a:graphicData>
          </a:graphic>
        </wp:inline>
      </w:drawing>
    </w:r>
  </w:p>
  <w:p w14:paraId="5219099D" w14:textId="77777777" w:rsidR="00A952B4" w:rsidRDefault="00A952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C8C8" w14:textId="77777777" w:rsidR="00A952B4" w:rsidRDefault="00A952B4">
    <w:pPr>
      <w:tabs>
        <w:tab w:val="center" w:pos="4678"/>
      </w:tabs>
      <w:spacing w:before="60"/>
      <w:rPr>
        <w:rFonts w:ascii="H-Arial" w:hAnsi="H-Arial"/>
      </w:rPr>
    </w:pPr>
    <w:r>
      <w:rPr>
        <w:rFonts w:ascii="H-Arial" w:hAnsi="H-Arial"/>
      </w:rPr>
      <w:tab/>
    </w:r>
  </w:p>
  <w:p w14:paraId="233B68D0" w14:textId="77777777" w:rsidR="00A952B4" w:rsidRDefault="00A952B4">
    <w:pPr>
      <w:pStyle w:val="Header"/>
      <w:tabs>
        <w:tab w:val="clear" w:pos="4153"/>
        <w:tab w:val="clear" w:pos="8306"/>
        <w:tab w:val="center" w:pos="4678"/>
        <w:tab w:val="right" w:pos="9356"/>
      </w:tabs>
      <w:spacing w:before="40"/>
      <w:jc w:val="left"/>
    </w:pPr>
    <w:r>
      <w:rPr>
        <w:rFonts w:ascii="Garamond" w:hAnsi="Garamond"/>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7E6C2C"/>
    <w:lvl w:ilvl="0">
      <w:numFmt w:val="decimal"/>
      <w:lvlText w:val="*"/>
      <w:lvlJc w:val="left"/>
      <w:rPr>
        <w:rFonts w:cs="Times New Roman"/>
      </w:rPr>
    </w:lvl>
  </w:abstractNum>
  <w:abstractNum w:abstractNumId="1" w15:restartNumberingAfterBreak="0">
    <w:nsid w:val="040727EE"/>
    <w:multiLevelType w:val="singleLevel"/>
    <w:tmpl w:val="4072AC22"/>
    <w:lvl w:ilvl="0">
      <w:start w:val="1"/>
      <w:numFmt w:val="lowerLetter"/>
      <w:lvlText w:val="%1)"/>
      <w:legacy w:legacy="1" w:legacySpace="0" w:legacyIndent="283"/>
      <w:lvlJc w:val="left"/>
      <w:pPr>
        <w:ind w:left="851" w:hanging="283"/>
      </w:pPr>
      <w:rPr>
        <w:rFonts w:cs="Times New Roman"/>
      </w:rPr>
    </w:lvl>
  </w:abstractNum>
  <w:abstractNum w:abstractNumId="2" w15:restartNumberingAfterBreak="0">
    <w:nsid w:val="08AD798A"/>
    <w:multiLevelType w:val="hybridMultilevel"/>
    <w:tmpl w:val="E4202EA2"/>
    <w:lvl w:ilvl="0" w:tplc="B18E2CFA">
      <w:start w:val="1"/>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4C4302"/>
    <w:multiLevelType w:val="singleLevel"/>
    <w:tmpl w:val="040E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1A4714F"/>
    <w:multiLevelType w:val="hybridMultilevel"/>
    <w:tmpl w:val="2E643EB4"/>
    <w:lvl w:ilvl="0" w:tplc="49BC0E0A">
      <w:start w:val="1"/>
      <w:numFmt w:val="lowerLetter"/>
      <w:lvlText w:val="%1)"/>
      <w:lvlJc w:val="left"/>
      <w:pPr>
        <w:tabs>
          <w:tab w:val="num" w:pos="720"/>
        </w:tabs>
        <w:ind w:left="720" w:hanging="360"/>
      </w:pPr>
      <w:rPr>
        <w:rFonts w:cs="Times New Roman" w:hint="default"/>
        <w:i w:val="0"/>
      </w:rPr>
    </w:lvl>
    <w:lvl w:ilvl="1" w:tplc="D5A808FC">
      <w:numFmt w:val="bullet"/>
      <w:lvlText w:val="-"/>
      <w:lvlJc w:val="left"/>
      <w:pPr>
        <w:tabs>
          <w:tab w:val="num" w:pos="360"/>
        </w:tabs>
        <w:ind w:left="357" w:hanging="357"/>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0E7815"/>
    <w:multiLevelType w:val="hybridMultilevel"/>
    <w:tmpl w:val="4830D5F6"/>
    <w:lvl w:ilvl="0" w:tplc="205CCC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9678CD"/>
    <w:multiLevelType w:val="hybridMultilevel"/>
    <w:tmpl w:val="CA48D816"/>
    <w:lvl w:ilvl="0" w:tplc="5F42FD06">
      <w:start w:val="3"/>
      <w:numFmt w:val="bullet"/>
      <w:lvlText w:val="-"/>
      <w:lvlJc w:val="left"/>
      <w:pPr>
        <w:tabs>
          <w:tab w:val="num" w:pos="360"/>
        </w:tabs>
        <w:ind w:left="35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B5263C"/>
    <w:multiLevelType w:val="hybridMultilevel"/>
    <w:tmpl w:val="EE7C9E74"/>
    <w:lvl w:ilvl="0" w:tplc="45BC9EFA">
      <w:start w:val="1"/>
      <w:numFmt w:val="upperRoman"/>
      <w:lvlText w:val="%1."/>
      <w:lvlJc w:val="left"/>
      <w:pPr>
        <w:tabs>
          <w:tab w:val="num" w:pos="720"/>
        </w:tabs>
        <w:ind w:left="357" w:hanging="357"/>
      </w:pPr>
      <w:rPr>
        <w:rFonts w:cs="Times New Roman" w:hint="default"/>
      </w:rPr>
    </w:lvl>
    <w:lvl w:ilvl="1" w:tplc="636C9BA0">
      <w:numFmt w:val="none"/>
      <w:lvlText w:val=""/>
      <w:lvlJc w:val="left"/>
      <w:pPr>
        <w:tabs>
          <w:tab w:val="num" w:pos="360"/>
        </w:tabs>
      </w:pPr>
      <w:rPr>
        <w:rFonts w:cs="Times New Roman"/>
      </w:rPr>
    </w:lvl>
    <w:lvl w:ilvl="2" w:tplc="E1AC2B86">
      <w:numFmt w:val="none"/>
      <w:lvlText w:val=""/>
      <w:lvlJc w:val="left"/>
      <w:pPr>
        <w:tabs>
          <w:tab w:val="num" w:pos="360"/>
        </w:tabs>
      </w:pPr>
      <w:rPr>
        <w:rFonts w:cs="Times New Roman"/>
      </w:rPr>
    </w:lvl>
    <w:lvl w:ilvl="3" w:tplc="FF783B18">
      <w:numFmt w:val="none"/>
      <w:lvlText w:val=""/>
      <w:lvlJc w:val="left"/>
      <w:pPr>
        <w:tabs>
          <w:tab w:val="num" w:pos="360"/>
        </w:tabs>
      </w:pPr>
      <w:rPr>
        <w:rFonts w:cs="Times New Roman"/>
      </w:rPr>
    </w:lvl>
    <w:lvl w:ilvl="4" w:tplc="866A1228">
      <w:numFmt w:val="none"/>
      <w:lvlText w:val=""/>
      <w:lvlJc w:val="left"/>
      <w:pPr>
        <w:tabs>
          <w:tab w:val="num" w:pos="360"/>
        </w:tabs>
      </w:pPr>
      <w:rPr>
        <w:rFonts w:cs="Times New Roman"/>
      </w:rPr>
    </w:lvl>
    <w:lvl w:ilvl="5" w:tplc="E24ADEBA">
      <w:numFmt w:val="none"/>
      <w:lvlText w:val=""/>
      <w:lvlJc w:val="left"/>
      <w:pPr>
        <w:tabs>
          <w:tab w:val="num" w:pos="360"/>
        </w:tabs>
      </w:pPr>
      <w:rPr>
        <w:rFonts w:cs="Times New Roman"/>
      </w:rPr>
    </w:lvl>
    <w:lvl w:ilvl="6" w:tplc="401E4F62">
      <w:numFmt w:val="none"/>
      <w:lvlText w:val=""/>
      <w:lvlJc w:val="left"/>
      <w:pPr>
        <w:tabs>
          <w:tab w:val="num" w:pos="360"/>
        </w:tabs>
      </w:pPr>
      <w:rPr>
        <w:rFonts w:cs="Times New Roman"/>
      </w:rPr>
    </w:lvl>
    <w:lvl w:ilvl="7" w:tplc="D4A20546">
      <w:numFmt w:val="none"/>
      <w:lvlText w:val=""/>
      <w:lvlJc w:val="left"/>
      <w:pPr>
        <w:tabs>
          <w:tab w:val="num" w:pos="360"/>
        </w:tabs>
      </w:pPr>
      <w:rPr>
        <w:rFonts w:cs="Times New Roman"/>
      </w:rPr>
    </w:lvl>
    <w:lvl w:ilvl="8" w:tplc="B67A13D6">
      <w:numFmt w:val="none"/>
      <w:lvlText w:val=""/>
      <w:lvlJc w:val="left"/>
      <w:pPr>
        <w:tabs>
          <w:tab w:val="num" w:pos="360"/>
        </w:tabs>
      </w:pPr>
      <w:rPr>
        <w:rFonts w:cs="Times New Roman"/>
      </w:rPr>
    </w:lvl>
  </w:abstractNum>
  <w:abstractNum w:abstractNumId="8" w15:restartNumberingAfterBreak="0">
    <w:nsid w:val="37061C23"/>
    <w:multiLevelType w:val="hybridMultilevel"/>
    <w:tmpl w:val="513C058A"/>
    <w:lvl w:ilvl="0" w:tplc="39EC6C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B7547"/>
    <w:multiLevelType w:val="hybridMultilevel"/>
    <w:tmpl w:val="3E8CEEEA"/>
    <w:lvl w:ilvl="0" w:tplc="45D69686">
      <w:start w:val="1"/>
      <w:numFmt w:val="decimal"/>
      <w:lvlText w:val="%1."/>
      <w:lvlJc w:val="left"/>
      <w:pPr>
        <w:tabs>
          <w:tab w:val="num" w:pos="360"/>
        </w:tabs>
        <w:ind w:left="357" w:hanging="357"/>
      </w:pPr>
      <w:rPr>
        <w:rFonts w:cs="Times New Roman" w:hint="default"/>
      </w:rPr>
    </w:lvl>
    <w:lvl w:ilvl="1" w:tplc="35C8C03C">
      <w:start w:val="1"/>
      <w:numFmt w:val="lowerLetter"/>
      <w:lvlText w:val="%2)"/>
      <w:lvlJc w:val="left"/>
      <w:pPr>
        <w:tabs>
          <w:tab w:val="num" w:pos="737"/>
        </w:tabs>
        <w:ind w:left="737" w:hanging="3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3135B"/>
    <w:multiLevelType w:val="singleLevel"/>
    <w:tmpl w:val="040E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C726DCF"/>
    <w:multiLevelType w:val="hybridMultilevel"/>
    <w:tmpl w:val="2E643EB4"/>
    <w:lvl w:ilvl="0" w:tplc="49BC0E0A">
      <w:start w:val="1"/>
      <w:numFmt w:val="lowerLetter"/>
      <w:lvlText w:val="%1)"/>
      <w:lvlJc w:val="left"/>
      <w:pPr>
        <w:tabs>
          <w:tab w:val="num" w:pos="720"/>
        </w:tabs>
        <w:ind w:left="720" w:hanging="360"/>
      </w:pPr>
      <w:rPr>
        <w:rFonts w:cs="Times New Roman" w:hint="default"/>
        <w:i w:val="0"/>
      </w:rPr>
    </w:lvl>
    <w:lvl w:ilvl="1" w:tplc="D058404A">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78438A1"/>
    <w:multiLevelType w:val="hybridMultilevel"/>
    <w:tmpl w:val="71D6A73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F2299"/>
    <w:multiLevelType w:val="hybridMultilevel"/>
    <w:tmpl w:val="1F92AE8E"/>
    <w:lvl w:ilvl="0" w:tplc="E4E47E5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07144D"/>
    <w:multiLevelType w:val="hybridMultilevel"/>
    <w:tmpl w:val="E3E43FB6"/>
    <w:lvl w:ilvl="0" w:tplc="F85C674E">
      <w:start w:val="1"/>
      <w:numFmt w:val="decimal"/>
      <w:pStyle w:val="Sorszm"/>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AF6408"/>
    <w:multiLevelType w:val="hybridMultilevel"/>
    <w:tmpl w:val="CA48D816"/>
    <w:lvl w:ilvl="0" w:tplc="D0F60EF6">
      <w:start w:val="3"/>
      <w:numFmt w:val="bullet"/>
      <w:lvlText w:val="-"/>
      <w:lvlJc w:val="left"/>
      <w:pPr>
        <w:tabs>
          <w:tab w:val="num" w:pos="737"/>
        </w:tabs>
        <w:ind w:left="737" w:hanging="38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877C6"/>
    <w:multiLevelType w:val="hybridMultilevel"/>
    <w:tmpl w:val="E4202EA2"/>
    <w:lvl w:ilvl="0" w:tplc="E43451D4">
      <w:start w:val="1"/>
      <w:numFmt w:val="bullet"/>
      <w:lvlText w:val="-"/>
      <w:lvlJc w:val="left"/>
      <w:pPr>
        <w:tabs>
          <w:tab w:val="num" w:pos="360"/>
        </w:tabs>
        <w:ind w:left="357" w:hanging="357"/>
      </w:pPr>
      <w:rPr>
        <w:rFonts w:ascii="Times New Roman" w:eastAsia="Times New Roman" w:hAnsi="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AC3066C"/>
    <w:multiLevelType w:val="singleLevel"/>
    <w:tmpl w:val="4072AC22"/>
    <w:lvl w:ilvl="0">
      <w:start w:val="1"/>
      <w:numFmt w:val="lowerLetter"/>
      <w:lvlText w:val="%1)"/>
      <w:legacy w:legacy="1" w:legacySpace="0" w:legacyIndent="283"/>
      <w:lvlJc w:val="left"/>
      <w:pPr>
        <w:ind w:left="850" w:hanging="283"/>
      </w:pPr>
      <w:rPr>
        <w:rFonts w:cs="Times New Roman"/>
      </w:rPr>
    </w:lvl>
  </w:abstractNum>
  <w:abstractNum w:abstractNumId="18" w15:restartNumberingAfterBreak="0">
    <w:nsid w:val="796C6F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954705581">
    <w:abstractNumId w:val="17"/>
  </w:num>
  <w:num w:numId="2" w16cid:durableId="361981975">
    <w:abstractNumId w:val="17"/>
    <w:lvlOverride w:ilvl="0">
      <w:lvl w:ilvl="0">
        <w:start w:val="2"/>
        <w:numFmt w:val="lowerLetter"/>
        <w:lvlText w:val="%1)"/>
        <w:legacy w:legacy="1" w:legacySpace="0" w:legacyIndent="283"/>
        <w:lvlJc w:val="left"/>
        <w:pPr>
          <w:ind w:left="850" w:hanging="283"/>
        </w:pPr>
        <w:rPr>
          <w:rFonts w:cs="Times New Roman"/>
        </w:rPr>
      </w:lvl>
    </w:lvlOverride>
  </w:num>
  <w:num w:numId="3" w16cid:durableId="1344741138">
    <w:abstractNumId w:val="1"/>
  </w:num>
  <w:num w:numId="4" w16cid:durableId="524176065">
    <w:abstractNumId w:val="1"/>
    <w:lvlOverride w:ilvl="0">
      <w:lvl w:ilvl="0">
        <w:start w:val="2"/>
        <w:numFmt w:val="lowerLetter"/>
        <w:lvlText w:val="%1)"/>
        <w:legacy w:legacy="1" w:legacySpace="0" w:legacyIndent="283"/>
        <w:lvlJc w:val="left"/>
        <w:pPr>
          <w:ind w:left="851" w:hanging="283"/>
        </w:pPr>
        <w:rPr>
          <w:rFonts w:cs="Times New Roman"/>
        </w:rPr>
      </w:lvl>
    </w:lvlOverride>
  </w:num>
  <w:num w:numId="5" w16cid:durableId="48581709">
    <w:abstractNumId w:val="3"/>
  </w:num>
  <w:num w:numId="6" w16cid:durableId="1108887141">
    <w:abstractNumId w:val="10"/>
  </w:num>
  <w:num w:numId="7" w16cid:durableId="2054840096">
    <w:abstractNumId w:val="9"/>
  </w:num>
  <w:num w:numId="8" w16cid:durableId="1997609732">
    <w:abstractNumId w:val="13"/>
  </w:num>
  <w:num w:numId="9" w16cid:durableId="1804231416">
    <w:abstractNumId w:val="2"/>
  </w:num>
  <w:num w:numId="10" w16cid:durableId="374701653">
    <w:abstractNumId w:val="8"/>
  </w:num>
  <w:num w:numId="11" w16cid:durableId="1101725881">
    <w:abstractNumId w:val="16"/>
  </w:num>
  <w:num w:numId="12" w16cid:durableId="359085452">
    <w:abstractNumId w:val="7"/>
  </w:num>
  <w:num w:numId="13" w16cid:durableId="2045515283">
    <w:abstractNumId w:val="11"/>
  </w:num>
  <w:num w:numId="14" w16cid:durableId="511577289">
    <w:abstractNumId w:val="14"/>
  </w:num>
  <w:num w:numId="15" w16cid:durableId="918560267">
    <w:abstractNumId w:val="18"/>
  </w:num>
  <w:num w:numId="16" w16cid:durableId="1825467001">
    <w:abstractNumId w:val="4"/>
  </w:num>
  <w:num w:numId="17" w16cid:durableId="1600914499">
    <w:abstractNumId w:val="5"/>
  </w:num>
  <w:num w:numId="18" w16cid:durableId="1965308251">
    <w:abstractNumId w:val="0"/>
    <w:lvlOverride w:ilvl="0">
      <w:lvl w:ilvl="0">
        <w:numFmt w:val="bullet"/>
        <w:lvlText w:val=""/>
        <w:legacy w:legacy="1" w:legacySpace="0" w:legacyIndent="360"/>
        <w:lvlJc w:val="left"/>
        <w:rPr>
          <w:rFonts w:ascii="Symbol" w:hAnsi="Symbol" w:hint="default"/>
        </w:rPr>
      </w:lvl>
    </w:lvlOverride>
  </w:num>
  <w:num w:numId="19" w16cid:durableId="1018198144">
    <w:abstractNumId w:val="15"/>
  </w:num>
  <w:num w:numId="20" w16cid:durableId="626668982">
    <w:abstractNumId w:val="6"/>
  </w:num>
  <w:num w:numId="21" w16cid:durableId="49811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6"/>
    <w:rsid w:val="000C76C7"/>
    <w:rsid w:val="000E3BDB"/>
    <w:rsid w:val="000E4F31"/>
    <w:rsid w:val="00122E9C"/>
    <w:rsid w:val="0012505A"/>
    <w:rsid w:val="00132172"/>
    <w:rsid w:val="0013558C"/>
    <w:rsid w:val="00143D22"/>
    <w:rsid w:val="00175498"/>
    <w:rsid w:val="00175617"/>
    <w:rsid w:val="001A206D"/>
    <w:rsid w:val="001A7DF7"/>
    <w:rsid w:val="001E5E77"/>
    <w:rsid w:val="00216443"/>
    <w:rsid w:val="002D7BB0"/>
    <w:rsid w:val="00327ED1"/>
    <w:rsid w:val="00344DDE"/>
    <w:rsid w:val="003975D3"/>
    <w:rsid w:val="00421108"/>
    <w:rsid w:val="00422361"/>
    <w:rsid w:val="00442101"/>
    <w:rsid w:val="004A075F"/>
    <w:rsid w:val="004C268A"/>
    <w:rsid w:val="004E0439"/>
    <w:rsid w:val="00506BB9"/>
    <w:rsid w:val="00511FDE"/>
    <w:rsid w:val="00514C4B"/>
    <w:rsid w:val="00524843"/>
    <w:rsid w:val="00570B03"/>
    <w:rsid w:val="00570D97"/>
    <w:rsid w:val="0058796A"/>
    <w:rsid w:val="005961DC"/>
    <w:rsid w:val="005B2359"/>
    <w:rsid w:val="00695A05"/>
    <w:rsid w:val="006A1297"/>
    <w:rsid w:val="00715D78"/>
    <w:rsid w:val="00736D4B"/>
    <w:rsid w:val="007418AF"/>
    <w:rsid w:val="00753B43"/>
    <w:rsid w:val="00774828"/>
    <w:rsid w:val="0079552B"/>
    <w:rsid w:val="007B01D1"/>
    <w:rsid w:val="007C2876"/>
    <w:rsid w:val="00831AB0"/>
    <w:rsid w:val="008345E0"/>
    <w:rsid w:val="00843F2A"/>
    <w:rsid w:val="00862ABA"/>
    <w:rsid w:val="00892238"/>
    <w:rsid w:val="008F3C23"/>
    <w:rsid w:val="008F6EC6"/>
    <w:rsid w:val="00906E29"/>
    <w:rsid w:val="009775DB"/>
    <w:rsid w:val="009F725F"/>
    <w:rsid w:val="00A7156E"/>
    <w:rsid w:val="00A811B0"/>
    <w:rsid w:val="00A952B4"/>
    <w:rsid w:val="00AB672D"/>
    <w:rsid w:val="00B40723"/>
    <w:rsid w:val="00B448FD"/>
    <w:rsid w:val="00B53ABE"/>
    <w:rsid w:val="00BA70E1"/>
    <w:rsid w:val="00BB1B66"/>
    <w:rsid w:val="00BE2794"/>
    <w:rsid w:val="00BE7875"/>
    <w:rsid w:val="00C04CEF"/>
    <w:rsid w:val="00C07686"/>
    <w:rsid w:val="00C278A9"/>
    <w:rsid w:val="00C454EF"/>
    <w:rsid w:val="00C70C9B"/>
    <w:rsid w:val="00C81813"/>
    <w:rsid w:val="00CB009F"/>
    <w:rsid w:val="00CD66EB"/>
    <w:rsid w:val="00CF5C5C"/>
    <w:rsid w:val="00CF6DC3"/>
    <w:rsid w:val="00D22FB7"/>
    <w:rsid w:val="00D36EBA"/>
    <w:rsid w:val="00D83ADC"/>
    <w:rsid w:val="00DB2F7B"/>
    <w:rsid w:val="00DE0A82"/>
    <w:rsid w:val="00E11C02"/>
    <w:rsid w:val="00E23969"/>
    <w:rsid w:val="00E43B2B"/>
    <w:rsid w:val="00E950EA"/>
    <w:rsid w:val="00EA6FC1"/>
    <w:rsid w:val="00EC1701"/>
    <w:rsid w:val="00F7756C"/>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D58AE"/>
  <w15:docId w15:val="{6B493FF1-1DC2-482F-9384-CD11CE8A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CEF"/>
    <w:rPr>
      <w:lang w:eastAsia="en-US"/>
    </w:rPr>
  </w:style>
  <w:style w:type="paragraph" w:styleId="Heading1">
    <w:name w:val="heading 1"/>
    <w:basedOn w:val="Normal"/>
    <w:next w:val="Normal"/>
    <w:link w:val="Heading1Char"/>
    <w:uiPriority w:val="9"/>
    <w:qFormat/>
    <w:rsid w:val="00C04CEF"/>
    <w:pPr>
      <w:keepNext/>
      <w:jc w:val="both"/>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4CEF"/>
    <w:rPr>
      <w:rFonts w:ascii="Cambria" w:eastAsia="Times New Roman" w:hAnsi="Cambria" w:cs="Times New Roman"/>
      <w:b/>
      <w:bCs/>
      <w:kern w:val="32"/>
      <w:sz w:val="32"/>
      <w:szCs w:val="32"/>
      <w:lang w:eastAsia="en-US"/>
    </w:rPr>
  </w:style>
  <w:style w:type="character" w:styleId="PageNumber">
    <w:name w:val="page number"/>
    <w:uiPriority w:val="99"/>
    <w:rsid w:val="00C04CEF"/>
    <w:rPr>
      <w:rFonts w:cs="Times New Roman"/>
    </w:rPr>
  </w:style>
  <w:style w:type="paragraph" w:styleId="Header">
    <w:name w:val="header"/>
    <w:basedOn w:val="Normal"/>
    <w:link w:val="HeaderChar"/>
    <w:uiPriority w:val="99"/>
    <w:rsid w:val="00C04CEF"/>
    <w:pPr>
      <w:tabs>
        <w:tab w:val="center" w:pos="4153"/>
        <w:tab w:val="right" w:pos="8306"/>
      </w:tabs>
      <w:jc w:val="both"/>
    </w:pPr>
  </w:style>
  <w:style w:type="character" w:customStyle="1" w:styleId="HeaderChar">
    <w:name w:val="Header Char"/>
    <w:link w:val="Header"/>
    <w:uiPriority w:val="99"/>
    <w:semiHidden/>
    <w:rsid w:val="00C04CEF"/>
    <w:rPr>
      <w:lang w:eastAsia="en-US"/>
    </w:rPr>
  </w:style>
  <w:style w:type="paragraph" w:styleId="Footer">
    <w:name w:val="footer"/>
    <w:basedOn w:val="Normal"/>
    <w:link w:val="FooterChar"/>
    <w:uiPriority w:val="99"/>
    <w:rsid w:val="00C04CEF"/>
    <w:pPr>
      <w:tabs>
        <w:tab w:val="center" w:pos="4153"/>
        <w:tab w:val="right" w:pos="8306"/>
      </w:tabs>
    </w:pPr>
  </w:style>
  <w:style w:type="character" w:customStyle="1" w:styleId="FooterChar">
    <w:name w:val="Footer Char"/>
    <w:link w:val="Footer"/>
    <w:uiPriority w:val="99"/>
    <w:semiHidden/>
    <w:rsid w:val="00C04CEF"/>
    <w:rPr>
      <w:lang w:eastAsia="en-US"/>
    </w:rPr>
  </w:style>
  <w:style w:type="paragraph" w:styleId="Title">
    <w:name w:val="Title"/>
    <w:basedOn w:val="Normal"/>
    <w:link w:val="TitleChar"/>
    <w:uiPriority w:val="10"/>
    <w:qFormat/>
    <w:rsid w:val="00C04CEF"/>
    <w:pPr>
      <w:spacing w:after="360"/>
      <w:jc w:val="center"/>
    </w:pPr>
    <w:rPr>
      <w:rFonts w:ascii="Cambria" w:hAnsi="Cambria"/>
      <w:b/>
      <w:bCs/>
      <w:kern w:val="28"/>
      <w:sz w:val="32"/>
      <w:szCs w:val="32"/>
    </w:rPr>
  </w:style>
  <w:style w:type="character" w:customStyle="1" w:styleId="TitleChar">
    <w:name w:val="Title Char"/>
    <w:link w:val="Title"/>
    <w:uiPriority w:val="10"/>
    <w:rsid w:val="00C04CEF"/>
    <w:rPr>
      <w:rFonts w:ascii="Cambria" w:eastAsia="Times New Roman" w:hAnsi="Cambria" w:cs="Times New Roman"/>
      <w:b/>
      <w:bCs/>
      <w:kern w:val="28"/>
      <w:sz w:val="32"/>
      <w:szCs w:val="32"/>
      <w:lang w:eastAsia="en-US"/>
    </w:rPr>
  </w:style>
  <w:style w:type="paragraph" w:styleId="FootnoteText">
    <w:name w:val="footnote text"/>
    <w:basedOn w:val="Normal"/>
    <w:link w:val="FootnoteTextChar"/>
    <w:uiPriority w:val="99"/>
    <w:semiHidden/>
    <w:rsid w:val="00C04CEF"/>
  </w:style>
  <w:style w:type="character" w:customStyle="1" w:styleId="FootnoteTextChar">
    <w:name w:val="Footnote Text Char"/>
    <w:link w:val="FootnoteText"/>
    <w:uiPriority w:val="99"/>
    <w:semiHidden/>
    <w:rsid w:val="00C04CEF"/>
    <w:rPr>
      <w:lang w:eastAsia="en-US"/>
    </w:rPr>
  </w:style>
  <w:style w:type="character" w:styleId="FootnoteReference">
    <w:name w:val="footnote reference"/>
    <w:uiPriority w:val="99"/>
    <w:semiHidden/>
    <w:rsid w:val="00C04CEF"/>
    <w:rPr>
      <w:rFonts w:cs="Times New Roman"/>
      <w:vertAlign w:val="superscript"/>
    </w:rPr>
  </w:style>
  <w:style w:type="paragraph" w:styleId="BodyTextIndent3">
    <w:name w:val="Body Text Indent 3"/>
    <w:basedOn w:val="Normal"/>
    <w:link w:val="BodyTextIndent3Char"/>
    <w:uiPriority w:val="99"/>
    <w:rsid w:val="00C04CEF"/>
    <w:pPr>
      <w:ind w:left="426" w:hanging="426"/>
      <w:jc w:val="both"/>
    </w:pPr>
    <w:rPr>
      <w:sz w:val="16"/>
      <w:szCs w:val="16"/>
    </w:rPr>
  </w:style>
  <w:style w:type="character" w:customStyle="1" w:styleId="BodyTextIndent3Char">
    <w:name w:val="Body Text Indent 3 Char"/>
    <w:link w:val="BodyTextIndent3"/>
    <w:uiPriority w:val="99"/>
    <w:semiHidden/>
    <w:rsid w:val="00C04CEF"/>
    <w:rPr>
      <w:sz w:val="16"/>
      <w:szCs w:val="16"/>
      <w:lang w:eastAsia="en-US"/>
    </w:rPr>
  </w:style>
  <w:style w:type="paragraph" w:styleId="BodyTextIndent">
    <w:name w:val="Body Text Indent"/>
    <w:basedOn w:val="Normal"/>
    <w:link w:val="BodyTextIndentChar"/>
    <w:uiPriority w:val="99"/>
    <w:rsid w:val="00C04CEF"/>
    <w:pPr>
      <w:ind w:left="900" w:hanging="540"/>
    </w:pPr>
  </w:style>
  <w:style w:type="character" w:customStyle="1" w:styleId="BodyTextIndentChar">
    <w:name w:val="Body Text Indent Char"/>
    <w:link w:val="BodyTextIndent"/>
    <w:uiPriority w:val="99"/>
    <w:semiHidden/>
    <w:rsid w:val="00C04CEF"/>
    <w:rPr>
      <w:lang w:eastAsia="en-US"/>
    </w:rPr>
  </w:style>
  <w:style w:type="paragraph" w:styleId="BodyTextIndent2">
    <w:name w:val="Body Text Indent 2"/>
    <w:basedOn w:val="Normal"/>
    <w:link w:val="BodyTextIndent2Char"/>
    <w:uiPriority w:val="99"/>
    <w:rsid w:val="00C04CEF"/>
    <w:pPr>
      <w:ind w:left="360"/>
    </w:pPr>
  </w:style>
  <w:style w:type="character" w:customStyle="1" w:styleId="BodyTextIndent2Char">
    <w:name w:val="Body Text Indent 2 Char"/>
    <w:link w:val="BodyTextIndent2"/>
    <w:uiPriority w:val="99"/>
    <w:semiHidden/>
    <w:rsid w:val="00C04CEF"/>
    <w:rPr>
      <w:lang w:eastAsia="en-US"/>
    </w:rPr>
  </w:style>
  <w:style w:type="paragraph" w:styleId="BodyText">
    <w:name w:val="Body Text"/>
    <w:basedOn w:val="Normal"/>
    <w:link w:val="BodyTextChar"/>
    <w:uiPriority w:val="99"/>
    <w:rsid w:val="00C04CEF"/>
    <w:pPr>
      <w:jc w:val="both"/>
    </w:pPr>
  </w:style>
  <w:style w:type="character" w:customStyle="1" w:styleId="BodyTextChar">
    <w:name w:val="Body Text Char"/>
    <w:link w:val="BodyText"/>
    <w:uiPriority w:val="99"/>
    <w:rsid w:val="00C04CEF"/>
    <w:rPr>
      <w:lang w:eastAsia="en-US"/>
    </w:rPr>
  </w:style>
  <w:style w:type="paragraph" w:styleId="BodyText2">
    <w:name w:val="Body Text 2"/>
    <w:basedOn w:val="Normal"/>
    <w:link w:val="BodyText2Char"/>
    <w:uiPriority w:val="99"/>
    <w:rsid w:val="00C04CEF"/>
  </w:style>
  <w:style w:type="character" w:customStyle="1" w:styleId="BodyText2Char">
    <w:name w:val="Body Text 2 Char"/>
    <w:link w:val="BodyText2"/>
    <w:uiPriority w:val="99"/>
    <w:semiHidden/>
    <w:rsid w:val="00C04CEF"/>
    <w:rPr>
      <w:lang w:eastAsia="en-US"/>
    </w:rPr>
  </w:style>
  <w:style w:type="paragraph" w:customStyle="1" w:styleId="Sorszm">
    <w:name w:val="Sorszám"/>
    <w:rsid w:val="00C04CEF"/>
    <w:pPr>
      <w:numPr>
        <w:numId w:val="14"/>
      </w:numPr>
      <w:spacing w:after="120"/>
    </w:pPr>
    <w:rPr>
      <w:rFonts w:ascii="L Centennial 45 Light" w:hAnsi="L Centennial 45 Light"/>
      <w:lang w:eastAsia="en-US"/>
    </w:rPr>
  </w:style>
  <w:style w:type="paragraph" w:styleId="BalloonText">
    <w:name w:val="Balloon Text"/>
    <w:basedOn w:val="Normal"/>
    <w:link w:val="BalloonTextChar"/>
    <w:uiPriority w:val="99"/>
    <w:semiHidden/>
    <w:rsid w:val="00C04CEF"/>
    <w:rPr>
      <w:rFonts w:ascii="Tahoma" w:hAnsi="Tahoma"/>
      <w:sz w:val="16"/>
      <w:szCs w:val="16"/>
    </w:rPr>
  </w:style>
  <w:style w:type="character" w:customStyle="1" w:styleId="BalloonTextChar">
    <w:name w:val="Balloon Text Char"/>
    <w:link w:val="BalloonText"/>
    <w:uiPriority w:val="99"/>
    <w:semiHidden/>
    <w:rsid w:val="00C04CEF"/>
    <w:rPr>
      <w:rFonts w:ascii="Tahoma" w:hAnsi="Tahoma" w:cs="Tahoma"/>
      <w:sz w:val="16"/>
      <w:szCs w:val="16"/>
      <w:lang w:eastAsia="en-US"/>
    </w:rPr>
  </w:style>
  <w:style w:type="table" w:styleId="TableGrid">
    <w:name w:val="Table Grid"/>
    <w:basedOn w:val="TableNormal"/>
    <w:uiPriority w:val="59"/>
    <w:rsid w:val="00C0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C04CEF"/>
    <w:rPr>
      <w:rFonts w:ascii="Courier New" w:hAnsi="Courier New"/>
      <w:vanish/>
      <w:color w:val="800080"/>
      <w:vertAlign w:val="subscript"/>
    </w:rPr>
  </w:style>
  <w:style w:type="paragraph" w:styleId="DocumentMap">
    <w:name w:val="Document Map"/>
    <w:basedOn w:val="Normal"/>
    <w:link w:val="DocumentMapChar"/>
    <w:rsid w:val="00715D78"/>
    <w:rPr>
      <w:rFonts w:ascii="Tahoma" w:hAnsi="Tahoma" w:cs="Tahoma"/>
      <w:sz w:val="16"/>
      <w:szCs w:val="16"/>
    </w:rPr>
  </w:style>
  <w:style w:type="character" w:customStyle="1" w:styleId="DocumentMapChar">
    <w:name w:val="Document Map Char"/>
    <w:link w:val="DocumentMap"/>
    <w:rsid w:val="00715D78"/>
    <w:rPr>
      <w:rFonts w:ascii="Tahoma" w:hAnsi="Tahoma" w:cs="Tahoma"/>
      <w:sz w:val="16"/>
      <w:szCs w:val="16"/>
      <w:lang w:eastAsia="en-US"/>
    </w:rPr>
  </w:style>
  <w:style w:type="paragraph" w:styleId="ListParagraph">
    <w:name w:val="List Paragraph"/>
    <w:basedOn w:val="Normal"/>
    <w:uiPriority w:val="34"/>
    <w:qFormat/>
    <w:rsid w:val="00EA6FC1"/>
    <w:pPr>
      <w:ind w:left="720"/>
    </w:pPr>
  </w:style>
  <w:style w:type="paragraph" w:styleId="Revision">
    <w:name w:val="Revision"/>
    <w:hidden/>
    <w:uiPriority w:val="99"/>
    <w:semiHidden/>
    <w:rsid w:val="005B2359"/>
    <w:rPr>
      <w:lang w:eastAsia="en-US"/>
    </w:rPr>
  </w:style>
  <w:style w:type="character" w:styleId="CommentReference">
    <w:name w:val="annotation reference"/>
    <w:basedOn w:val="DefaultParagraphFont"/>
    <w:semiHidden/>
    <w:unhideWhenUsed/>
    <w:rsid w:val="00F7756C"/>
    <w:rPr>
      <w:sz w:val="16"/>
      <w:szCs w:val="16"/>
    </w:rPr>
  </w:style>
  <w:style w:type="paragraph" w:styleId="CommentText">
    <w:name w:val="annotation text"/>
    <w:basedOn w:val="Normal"/>
    <w:link w:val="CommentTextChar"/>
    <w:unhideWhenUsed/>
    <w:rsid w:val="00F7756C"/>
  </w:style>
  <w:style w:type="character" w:customStyle="1" w:styleId="CommentTextChar">
    <w:name w:val="Comment Text Char"/>
    <w:basedOn w:val="DefaultParagraphFont"/>
    <w:link w:val="CommentText"/>
    <w:rsid w:val="00F7756C"/>
    <w:rPr>
      <w:lang w:eastAsia="en-US"/>
    </w:rPr>
  </w:style>
  <w:style w:type="paragraph" w:styleId="CommentSubject">
    <w:name w:val="annotation subject"/>
    <w:basedOn w:val="CommentText"/>
    <w:next w:val="CommentText"/>
    <w:link w:val="CommentSubjectChar"/>
    <w:semiHidden/>
    <w:unhideWhenUsed/>
    <w:rsid w:val="00F7756C"/>
    <w:rPr>
      <w:b/>
      <w:bCs/>
    </w:rPr>
  </w:style>
  <w:style w:type="character" w:customStyle="1" w:styleId="CommentSubjectChar">
    <w:name w:val="Comment Subject Char"/>
    <w:basedOn w:val="CommentTextChar"/>
    <w:link w:val="CommentSubject"/>
    <w:semiHidden/>
    <w:rsid w:val="00F775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36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747E245F8D6FEB4FAB928CAB1206B86C" ma:contentTypeVersion="28" ma:contentTypeDescription="Új dokumentum létrehozása." ma:contentTypeScope="" ma:versionID="bb991c29e2ccb85b50a4659091e0dc51">
  <xsd:schema xmlns:xsd="http://www.w3.org/2001/XMLSchema" xmlns:p="http://schemas.microsoft.com/office/2006/metadata/properties" xmlns:ns2="c0748a1c-c222-4832-a321-cda1f6c37556" targetNamespace="http://schemas.microsoft.com/office/2006/metadata/properties" ma:root="true" ma:fieldsID="bc7c047d267f3856c75ed3264aa2795d" ns2:_="">
    <xsd:import namespace="c0748a1c-c222-4832-a321-cda1f6c37556"/>
    <xsd:element name="properties">
      <xsd:complexType>
        <xsd:sequence>
          <xsd:element name="documentManagement">
            <xsd:complexType>
              <xsd:all>
                <xsd:element ref="ns2:Category"/>
                <xsd:element ref="ns2:EffectiveDate"/>
                <xsd:element ref="ns2:ExpireDate" minOccurs="0"/>
                <xsd:element ref="ns2:Products" minOccurs="0"/>
                <xsd:element ref="ns2:SecurityScope" minOccurs="0"/>
                <xsd:element ref="ns2:ChildIds" minOccurs="0"/>
                <xsd:element ref="ns2:ParentIds" minOccurs="0"/>
                <xsd:element ref="ns2:Language"/>
                <xsd:element ref="ns2:SubCategory" minOccurs="0"/>
                <xsd:element ref="ns2:Archive" minOccurs="0"/>
                <xsd:element ref="ns2:Corporate" minOccurs="0"/>
                <xsd:element ref="ns2:Retail" minOccurs="0"/>
                <xsd:element ref="ns2:FileName" minOccurs="0"/>
                <xsd:element ref="ns2:V_x00e1_ltoz_x00e1_s_x0020_az_x0020_el_x0151_z_x0151__x0020_verzi_x00f3_hoz_x0020_k_x00e9_pest" minOccurs="0"/>
              </xsd:all>
            </xsd:complexType>
          </xsd:element>
        </xsd:sequence>
      </xsd:complexType>
    </xsd:element>
  </xsd:schema>
  <xsd:schema xmlns:xsd="http://www.w3.org/2001/XMLSchema" xmlns:dms="http://schemas.microsoft.com/office/2006/documentManagement/types" targetNamespace="c0748a1c-c222-4832-a321-cda1f6c37556" elementFormDefault="qualified">
    <xsd:import namespace="http://schemas.microsoft.com/office/2006/documentManagement/types"/>
    <xsd:element name="Category" ma:index="8" ma:displayName="Dokumentum típus" ma:default="" ma:format="Dropdown" ma:internalName="Category">
      <xsd:simpleType>
        <xsd:restriction base="dms:Choice">
          <xsd:enumeration value="Ügyféltájékoztató"/>
          <xsd:enumeration value="Kondíció Hirdetmény"/>
          <xsd:enumeration value="Üzletszabályzat"/>
          <xsd:enumeration value="Belső tájékoztató"/>
          <xsd:enumeration value="Belső körlevél"/>
          <xsd:enumeration value="Nyomtatvány"/>
          <xsd:enumeration value="Szerződés"/>
          <xsd:enumeration value="Jogi anyag"/>
          <xsd:enumeration value="Ajánlati minta"/>
          <xsd:enumeration value="Marketing anyag"/>
          <xsd:enumeration value="Jogszabály"/>
          <xsd:enumeration value="Haszonérvelés"/>
          <xsd:enumeration value="Kapcsolódó program"/>
          <xsd:enumeration value="Konkurencia anyag"/>
          <xsd:enumeration value="e-Learning"/>
          <xsd:enumeration value="GYIK"/>
        </xsd:restriction>
      </xsd:simpleType>
    </xsd:element>
    <xsd:element name="EffectiveDate" ma:index="9" ma:displayName="Hatályba lépés" ma:default="[today]" ma:format="DateOnly" ma:internalName="EffectiveDate">
      <xsd:simpleType>
        <xsd:restriction base="dms:DateTime"/>
      </xsd:simpleType>
    </xsd:element>
    <xsd:element name="ExpireDate" ma:index="10" nillable="true" ma:displayName="Elévülés" ma:format="DateOnly" ma:internalName="ExpireDate">
      <xsd:simpleType>
        <xsd:restriction base="dms:DateTime"/>
      </xsd:simpleType>
    </xsd:element>
    <xsd:element name="Products" ma:index="11" nillable="true" ma:displayName="Kapcsolódó termékek" ma:internalName="Products" ma:readOnly="false">
      <xsd:simpleType>
        <xsd:restriction base="dms:Unknown"/>
      </xsd:simpleType>
    </xsd:element>
    <xsd:element name="SecurityScope" ma:index="12" nillable="true" ma:displayName="Nyilvánosság" ma:default="Bankon belül nyilvános" ma:format="RadioButtons" ma:internalName="SecurityScope">
      <xsd:simpleType>
        <xsd:restriction base="dms:Choice">
          <xsd:enumeration value="Ügyfélnek átadható"/>
          <xsd:enumeration value="Partnernek átadható"/>
          <xsd:enumeration value="Bankon belül nyilvános"/>
        </xsd:restriction>
      </xsd:simpleType>
    </xsd:element>
    <xsd:element name="ChildIds" ma:index="13" nillable="true" ma:displayName="ChildIds" ma:hidden="true" ma:internalName="ChildIds" ma:readOnly="false">
      <xsd:simpleType>
        <xsd:restriction base="dms:Note"/>
      </xsd:simpleType>
    </xsd:element>
    <xsd:element name="ParentIds" ma:index="14" nillable="true" ma:displayName="ParentIds" ma:hidden="true" ma:internalName="ParentIds" ma:readOnly="false">
      <xsd:simpleType>
        <xsd:restriction base="dms:Note"/>
      </xsd:simpleType>
    </xsd:element>
    <xsd:element name="Language" ma:index="15" ma:displayName="Nyelv" ma:default="Magyar" ma:description="Csak abban az esetben válassza az ANGOL vagy NÉMET verziót, ha a dokumentum nem rendelkezik MAGYAR verzióval!" ma:format="RadioButtons" ma:internalName="Language">
      <xsd:simpleType>
        <xsd:restriction base="dms:Choice">
          <xsd:enumeration value="Magyar"/>
          <xsd:enumeration value="Angol"/>
          <xsd:enumeration value="Német"/>
        </xsd:restriction>
      </xsd:simpleType>
    </xsd:element>
    <xsd:element name="SubCategory" ma:index="16" nillable="true" ma:displayName="Alkategória" ma:default="" ma:description="Adja meg a dokumentum alkategóriáját." ma:format="Dropdown" ma:internalName="SubCategory">
      <xsd:simpleType>
        <xsd:union memberTypes="dms:Text">
          <xsd:simpleType>
            <xsd:restriction base="dms:Choice">
              <xsd:enumeration value="Befogadási kérelem"/>
              <xsd:enumeration value="Előtörlesztés"/>
              <xsd:enumeration value="Folyósítási kérelem"/>
              <xsd:enumeration value="Segédlet"/>
              <xsd:enumeration value="Hitelintézet által kitöltendő"/>
              <xsd:enumeration value="Ügyfél által kitöltendő"/>
            </xsd:restriction>
          </xsd:simpleType>
        </xsd:union>
      </xsd:simpleType>
    </xsd:element>
    <xsd:element name="Archive" ma:index="17" nillable="true" ma:displayName="Archive" ma:default="0" ma:hidden="true" ma:internalName="Archive" ma:readOnly="false">
      <xsd:simpleType>
        <xsd:restriction base="dms:Boolean"/>
      </xsd:simpleType>
    </xsd:element>
    <xsd:element name="Corporate" ma:index="18" nillable="true" ma:displayName="Corporate" ma:default="0" ma:hidden="true" ma:internalName="Corporate" ma:readOnly="false">
      <xsd:simpleType>
        <xsd:restriction base="dms:Boolean"/>
      </xsd:simpleType>
    </xsd:element>
    <xsd:element name="Retail" ma:index="19" nillable="true" ma:displayName="Retail" ma:default="0" ma:hidden="true" ma:internalName="Retail" ma:readOnly="false">
      <xsd:simpleType>
        <xsd:restriction base="dms:Boolean"/>
      </xsd:simpleType>
    </xsd:element>
    <xsd:element name="FileName" ma:index="20" nillable="true" ma:displayName="FileName" ma:hidden="true" ma:internalName="FileName" ma:readOnly="false">
      <xsd:simpleType>
        <xsd:restriction base="dms:Text">
          <xsd:maxLength value="255"/>
        </xsd:restriction>
      </xsd:simpleType>
    </xsd:element>
    <xsd:element name="V_x00e1_ltoz_x00e1_s_x0020_az_x0020_el_x0151_z_x0151__x0020_verzi_x00f3_hoz_x0020_k_x00e9_pest" ma:index="23" nillable="true" ma:displayName="Változás az előző verzióhoz képest" ma:default="Új felvitel" ma:internalName="V_x00e1_ltoz_x00e1_s_x0020_az_x0020_el_x0151_z_x0151__x0020_verzi_x00f3_hoz_x0020_k_x00e9_pes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FileName xmlns="c0748a1c-c222-4832-a321-cda1f6c37556" xsi:nil="true"/>
    <ChildIds xmlns="c0748a1c-c222-4832-a321-cda1f6c37556" xsi:nil="true"/>
    <ParentIds xmlns="c0748a1c-c222-4832-a321-cda1f6c37556" xsi:nil="true"/>
    <Corporate xmlns="c0748a1c-c222-4832-a321-cda1f6c37556">false</Corporate>
    <Language xmlns="c0748a1c-c222-4832-a321-cda1f6c37556">Magyar</Language>
    <SecurityScope xmlns="c0748a1c-c222-4832-a321-cda1f6c37556">Bankon belül nyilvános</SecurityScope>
    <ExpireDate xmlns="c0748a1c-c222-4832-a321-cda1f6c37556" xsi:nil="true"/>
    <Products xmlns="c0748a1c-c222-4832-a321-cda1f6c37556" xsi:nil="true"/>
    <Archive xmlns="c0748a1c-c222-4832-a321-cda1f6c37556">false</Archive>
    <SubCategory xmlns="c0748a1c-c222-4832-a321-cda1f6c37556" xsi:nil="true"/>
    <V_x00e1_ltoz_x00e1_s_x0020_az_x0020_el_x0151_z_x0151__x0020_verzi_x00f3_hoz_x0020_k_x00e9_pest xmlns="c0748a1c-c222-4832-a321-cda1f6c37556">Új felvitel</V_x00e1_ltoz_x00e1_s_x0020_az_x0020_el_x0151_z_x0151__x0020_verzi_x00f3_hoz_x0020_k_x00e9_pest>
    <EffectiveDate xmlns="c0748a1c-c222-4832-a321-cda1f6c37556">2012-06-29T15:44:39+00:00</EffectiveDate>
    <Retail xmlns="c0748a1c-c222-4832-a321-cda1f6c37556">false</Retail>
    <Category xmlns="c0748a1c-c222-4832-a321-cda1f6c37556"/>
  </documentManagement>
</p:properties>
</file>

<file path=customXml/itemProps1.xml><?xml version="1.0" encoding="utf-8"?>
<ds:datastoreItem xmlns:ds="http://schemas.openxmlformats.org/officeDocument/2006/customXml" ds:itemID="{E8C01545-C409-4007-8C75-A730863D2B6D}">
  <ds:schemaRefs>
    <ds:schemaRef ds:uri="http://schemas.microsoft.com/sharepoint/v3/contenttype/forms"/>
  </ds:schemaRefs>
</ds:datastoreItem>
</file>

<file path=customXml/itemProps2.xml><?xml version="1.0" encoding="utf-8"?>
<ds:datastoreItem xmlns:ds="http://schemas.openxmlformats.org/officeDocument/2006/customXml" ds:itemID="{FB0A4D5F-E7AE-4C0A-9F05-5CA228B02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48a1c-c222-4832-a321-cda1f6c3755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6EFDA8-695B-4A31-9217-D98BCDDDA26D}">
  <ds:schemaRefs>
    <ds:schemaRef ds:uri="http://schemas.microsoft.com/office/2006/metadata/longProperties"/>
  </ds:schemaRefs>
</ds:datastoreItem>
</file>

<file path=customXml/itemProps4.xml><?xml version="1.0" encoding="utf-8"?>
<ds:datastoreItem xmlns:ds="http://schemas.openxmlformats.org/officeDocument/2006/customXml" ds:itemID="{E7FF884F-D7FA-43E9-AB0B-B5F0C0F9FBD9}">
  <ds:schemaRefs>
    <ds:schemaRef ds:uri="http://schemas.microsoft.com/office/2006/metadata/properties"/>
    <ds:schemaRef ds:uri="c0748a1c-c222-4832-a321-cda1f6c375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3112</Words>
  <Characters>16546</Characters>
  <Application>Microsoft Office Word</Application>
  <DocSecurity>0</DocSecurity>
  <Lines>137</Lines>
  <Paragraphs>39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NYESZ Számlaszerződés</vt:lpstr>
      <vt:lpstr>NYESZ Számlaszerződés</vt:lpstr>
    </vt:vector>
  </TitlesOfParts>
  <Company>Ügyvédi Iroda</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NYESZ Számlaszerződés</dc:title>
  <dc:creator>Dr. Horváth Gábor</dc:creator>
  <cp:lastModifiedBy>Kern Péter Mihály (UniCredit Bank – H)</cp:lastModifiedBy>
  <cp:revision>3</cp:revision>
  <cp:lastPrinted>2008-03-04T09:35:00Z</cp:lastPrinted>
  <dcterms:created xsi:type="dcterms:W3CDTF">2026-01-26T10:24:00Z</dcterms:created>
  <dcterms:modified xsi:type="dcterms:W3CDTF">2026-01-26T12:22:00Z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Dokumentum</vt:lpwstr>
  </property>
  <property fmtid="{D5CDD505-2E9C-101B-9397-08002B2CF9AE}" pid="4" name="MSIP_Label_29db9e61-aac5-4f6e-805d-ceb8cb9983a1_Enabled">
    <vt:lpwstr>true</vt:lpwstr>
  </property>
  <property fmtid="{D5CDD505-2E9C-101B-9397-08002B2CF9AE}" pid="5" name="MSIP_Label_29db9e61-aac5-4f6e-805d-ceb8cb9983a1_SetDate">
    <vt:lpwstr>2022-04-26T14:18:29Z</vt:lpwstr>
  </property>
  <property fmtid="{D5CDD505-2E9C-101B-9397-08002B2CF9AE}" pid="6" name="MSIP_Label_29db9e61-aac5-4f6e-805d-ceb8cb9983a1_Method">
    <vt:lpwstr>Standard</vt:lpwstr>
  </property>
  <property fmtid="{D5CDD505-2E9C-101B-9397-08002B2CF9AE}" pid="7" name="MSIP_Label_29db9e61-aac5-4f6e-805d-ceb8cb9983a1_Name">
    <vt:lpwstr>UniCredit - Internal Use Only - no visual markings</vt:lpwstr>
  </property>
  <property fmtid="{D5CDD505-2E9C-101B-9397-08002B2CF9AE}" pid="8" name="MSIP_Label_29db9e61-aac5-4f6e-805d-ceb8cb9983a1_SiteId">
    <vt:lpwstr>2cc49ce9-66a1-41ac-a96b-bdc54247696a</vt:lpwstr>
  </property>
  <property fmtid="{D5CDD505-2E9C-101B-9397-08002B2CF9AE}" pid="9" name="MSIP_Label_29db9e61-aac5-4f6e-805d-ceb8cb9983a1_ActionId">
    <vt:lpwstr>f177944a-1c3b-4891-a7e9-286c4f51d6a9</vt:lpwstr>
  </property>
  <property fmtid="{D5CDD505-2E9C-101B-9397-08002B2CF9AE}" pid="10" name="MSIP_Label_29db9e61-aac5-4f6e-805d-ceb8cb9983a1_ContentBits">
    <vt:lpwstr>0</vt:lpwstr>
  </property>
</Properties>
</file>